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Century Gothic" w:cs="Century Gothic" w:eastAsia="Century Gothic" w:hAnsi="Century Gothic"/>
          <w:b w:val="1"/>
          <w:color w:val="941100"/>
          <w:sz w:val="72"/>
          <w:szCs w:val="72"/>
        </w:rPr>
      </w:pPr>
      <w:r w:rsidDel="00000000" w:rsidR="00000000" w:rsidRPr="00000000">
        <w:rPr>
          <w:rFonts w:ascii="Century Gothic" w:cs="Century Gothic" w:eastAsia="Century Gothic" w:hAnsi="Century Gothic"/>
          <w:b w:val="1"/>
          <w:color w:val="941100"/>
          <w:sz w:val="72"/>
          <w:szCs w:val="72"/>
        </w:rPr>
        <w:drawing>
          <wp:inline distB="0" distT="0" distL="0" distR="0">
            <wp:extent cx="4677482" cy="980690"/>
            <wp:effectExtent b="0" l="0" r="0" t="0"/>
            <wp:docPr id="7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677482" cy="980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3">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941100"/>
          <w:sz w:val="72"/>
          <w:szCs w:val="72"/>
          <w:rtl w:val="0"/>
        </w:rPr>
        <w:t xml:space="preserve">FORMATO DE ESTUDIO DE MERCADO</w:t>
      </w: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rPr>
      </w:pPr>
      <w:r w:rsidDel="00000000" w:rsidR="00000000" w:rsidRPr="00000000">
        <w:rPr>
          <w:rtl w:val="0"/>
        </w:rPr>
      </w:r>
    </w:p>
    <w:tbl>
      <w:tblPr>
        <w:tblStyle w:val="Table1"/>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397"/>
        <w:gridCol w:w="5431"/>
        <w:tblGridChange w:id="0">
          <w:tblGrid>
            <w:gridCol w:w="3397"/>
            <w:gridCol w:w="5431"/>
          </w:tblGrid>
        </w:tblGridChange>
      </w:tblGrid>
      <w:tr>
        <w:trPr>
          <w:cantSplit w:val="0"/>
          <w:trHeight w:val="1921" w:hRule="atLeast"/>
          <w:tblHeader w:val="0"/>
        </w:trPr>
        <w:tc>
          <w:tcPr>
            <w:shd w:fill="002060" w:val="clear"/>
            <w:vAlign w:val="center"/>
          </w:tcPr>
          <w:p w:rsidR="00000000" w:rsidDel="00000000" w:rsidP="00000000" w:rsidRDefault="00000000" w:rsidRPr="00000000" w14:paraId="0000000A">
            <w:pPr>
              <w:jc w:val="center"/>
              <w:rPr>
                <w:rFonts w:ascii="Century Gothic" w:cs="Century Gothic" w:eastAsia="Century Gothic" w:hAnsi="Century Gothic"/>
                <w:b w:val="1"/>
                <w:color w:val="ffffff"/>
                <w:sz w:val="28"/>
                <w:szCs w:val="28"/>
              </w:rPr>
            </w:pPr>
            <w:r w:rsidDel="00000000" w:rsidR="00000000" w:rsidRPr="00000000">
              <w:rPr>
                <w:rFonts w:ascii="Century Gothic" w:cs="Century Gothic" w:eastAsia="Century Gothic" w:hAnsi="Century Gothic"/>
                <w:b w:val="1"/>
                <w:color w:val="ffffff"/>
                <w:sz w:val="28"/>
                <w:szCs w:val="28"/>
                <w:rtl w:val="0"/>
              </w:rPr>
              <w:t xml:space="preserve">Proyecto Modelo No. 3</w:t>
            </w:r>
          </w:p>
        </w:tc>
        <w:tc>
          <w:tcPr>
            <w:shd w:fill="8eaadb" w:val="clear"/>
            <w:vAlign w:val="center"/>
          </w:tcPr>
          <w:p w:rsidR="00000000" w:rsidDel="00000000" w:rsidP="00000000" w:rsidRDefault="00000000" w:rsidRPr="00000000" w14:paraId="0000000B">
            <w:pPr>
              <w:jc w:val="center"/>
              <w:rPr>
                <w:rFonts w:ascii="Century Gothic" w:cs="Century Gothic" w:eastAsia="Century Gothic" w:hAnsi="Century Gothic"/>
                <w:b w:val="1"/>
                <w:color w:val="ff0000"/>
                <w:sz w:val="28"/>
                <w:szCs w:val="28"/>
              </w:rPr>
            </w:pPr>
            <w:r w:rsidDel="00000000" w:rsidR="00000000" w:rsidRPr="00000000">
              <w:rPr>
                <w:rFonts w:ascii="Century Gothic" w:cs="Century Gothic" w:eastAsia="Century Gothic" w:hAnsi="Century Gothic"/>
                <w:b w:val="1"/>
                <w:color w:val="002060"/>
                <w:sz w:val="28"/>
                <w:szCs w:val="28"/>
                <w:rtl w:val="0"/>
              </w:rPr>
              <w:t xml:space="preserve">Fortalecimiento del desarrollo turístico a través de la planeación sectorial y la promoción del turismo en el Departamento de</w:t>
            </w:r>
            <w:r w:rsidDel="00000000" w:rsidR="00000000" w:rsidRPr="00000000">
              <w:rPr>
                <w:rFonts w:ascii="Century Gothic" w:cs="Century Gothic" w:eastAsia="Century Gothic" w:hAnsi="Century Gothic"/>
                <w:b w:val="1"/>
                <w:color w:val="ff0000"/>
                <w:sz w:val="28"/>
                <w:szCs w:val="28"/>
                <w:rtl w:val="0"/>
              </w:rPr>
              <w:t xml:space="preserve"> Magdalena</w:t>
            </w:r>
          </w:p>
        </w:tc>
      </w:tr>
    </w:tbl>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line="360" w:lineRule="auto"/>
        <w:jc w:val="center"/>
        <w:rPr>
          <w:rFonts w:ascii="Century Gothic" w:cs="Century Gothic" w:eastAsia="Century Gothic" w:hAnsi="Century Gothic"/>
          <w:b w:val="1"/>
          <w:color w:val="002060"/>
        </w:rPr>
      </w:pPr>
      <w:r w:rsidDel="00000000" w:rsidR="00000000" w:rsidRPr="00000000">
        <w:rPr>
          <w:rtl w:val="0"/>
        </w:rPr>
      </w:r>
    </w:p>
    <w:p w:rsidR="00000000" w:rsidDel="00000000" w:rsidP="00000000" w:rsidRDefault="00000000" w:rsidRPr="00000000" w14:paraId="0000000D">
      <w:pPr>
        <w:keepNext w:val="1"/>
        <w:keepLines w:val="1"/>
        <w:pBdr>
          <w:top w:space="0" w:sz="0" w:val="nil"/>
          <w:left w:space="0" w:sz="0" w:val="nil"/>
          <w:bottom w:space="0" w:sz="0" w:val="nil"/>
          <w:right w:space="0" w:sz="0" w:val="nil"/>
          <w:between w:space="0" w:sz="0" w:val="nil"/>
        </w:pBdr>
        <w:spacing w:line="360" w:lineRule="auto"/>
        <w:rPr>
          <w:rFonts w:ascii="Century Gothic" w:cs="Century Gothic" w:eastAsia="Century Gothic" w:hAnsi="Century Gothic"/>
          <w:b w:val="1"/>
          <w:color w:val="002060"/>
          <w:sz w:val="28"/>
          <w:szCs w:val="28"/>
        </w:rPr>
      </w:pPr>
      <w:r w:rsidDel="00000000" w:rsidR="00000000" w:rsidRPr="00000000">
        <w:rPr>
          <w:rtl w:val="0"/>
        </w:rPr>
      </w:r>
    </w:p>
    <w:p w:rsidR="00000000" w:rsidDel="00000000" w:rsidP="00000000" w:rsidRDefault="00000000" w:rsidRPr="00000000" w14:paraId="0000000E">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keepNext w:val="1"/>
        <w:keepLines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rPr>
        <w:drawing>
          <wp:inline distB="0" distT="0" distL="0" distR="0">
            <wp:extent cx="3655373" cy="668117"/>
            <wp:effectExtent b="0" l="0" r="0" t="0"/>
            <wp:docPr id="79" name="image1.jpg"/>
            <a:graphic>
              <a:graphicData uri="http://schemas.openxmlformats.org/drawingml/2006/picture">
                <pic:pic>
                  <pic:nvPicPr>
                    <pic:cNvPr id="0" name="image1.jpg"/>
                    <pic:cNvPicPr preferRelativeResize="0"/>
                  </pic:nvPicPr>
                  <pic:blipFill>
                    <a:blip r:embed="rId8"/>
                    <a:srcRect b="0" l="0" r="12910" t="0"/>
                    <a:stretch>
                      <a:fillRect/>
                    </a:stretch>
                  </pic:blipFill>
                  <pic:spPr>
                    <a:xfrm>
                      <a:off x="0" y="0"/>
                      <a:ext cx="3655373" cy="66811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284" w:firstLine="0"/>
        <w:jc w:val="center"/>
        <w:rPr>
          <w:rFonts w:ascii="Century Gothic" w:cs="Century Gothic" w:eastAsia="Century Gothic" w:hAnsi="Century Gothic"/>
          <w:b w:val="1"/>
          <w:color w:val="941100"/>
          <w:sz w:val="52"/>
          <w:szCs w:val="52"/>
        </w:rPr>
      </w:pPr>
      <w:r w:rsidDel="00000000" w:rsidR="00000000" w:rsidRPr="00000000">
        <w:rPr>
          <w:rFonts w:ascii="Century Gothic" w:cs="Century Gothic" w:eastAsia="Century Gothic" w:hAnsi="Century Gothic"/>
          <w:color w:val="000000"/>
        </w:rPr>
        <w:drawing>
          <wp:inline distB="0" distT="0" distL="0" distR="0">
            <wp:extent cx="2099616" cy="746123"/>
            <wp:effectExtent b="0" l="0" r="0" t="0"/>
            <wp:docPr descr="C:\Users\acetina\AppData\Local\Microsoft\Windows\INetCache\Content.Word\Logo Confecámaras.png" id="78" name="image2.png"/>
            <a:graphic>
              <a:graphicData uri="http://schemas.openxmlformats.org/drawingml/2006/picture">
                <pic:pic>
                  <pic:nvPicPr>
                    <pic:cNvPr descr="C:\Users\acetina\AppData\Local\Microsoft\Windows\INetCache\Content.Word\Logo Confecámaras.png" id="0" name="image2.png"/>
                    <pic:cNvPicPr preferRelativeResize="0"/>
                  </pic:nvPicPr>
                  <pic:blipFill>
                    <a:blip r:embed="rId9"/>
                    <a:srcRect b="0" l="0" r="0" t="0"/>
                    <a:stretch>
                      <a:fillRect/>
                    </a:stretch>
                  </pic:blipFill>
                  <pic:spPr>
                    <a:xfrm>
                      <a:off x="0" y="0"/>
                      <a:ext cx="2099616" cy="746123"/>
                    </a:xfrm>
                    <a:prstGeom prst="rect"/>
                    <a:ln/>
                  </pic:spPr>
                </pic:pic>
              </a:graphicData>
            </a:graphic>
          </wp:inline>
        </w:drawing>
      </w:r>
      <w:r w:rsidDel="00000000" w:rsidR="00000000" w:rsidRPr="00000000">
        <w:rPr>
          <w:rFonts w:ascii="Century Gothic" w:cs="Century Gothic" w:eastAsia="Century Gothic" w:hAnsi="Century Gothic"/>
          <w:color w:val="2f5496"/>
        </w:rPr>
        <w:drawing>
          <wp:inline distB="0" distT="0" distL="0" distR="0">
            <wp:extent cx="1319637" cy="905339"/>
            <wp:effectExtent b="0" l="0" r="0" t="0"/>
            <wp:docPr descr="Logotipo, nombre de la empresa&#10;&#10;Descripción generada automáticamente" id="80" name="image4.png"/>
            <a:graphic>
              <a:graphicData uri="http://schemas.openxmlformats.org/drawingml/2006/picture">
                <pic:pic>
                  <pic:nvPicPr>
                    <pic:cNvPr descr="Logotipo, nombre de la empresa&#10;&#10;Descripción generada automáticamente" id="0" name="image4.png"/>
                    <pic:cNvPicPr preferRelativeResize="0"/>
                  </pic:nvPicPr>
                  <pic:blipFill>
                    <a:blip r:embed="rId10"/>
                    <a:srcRect b="0" l="0" r="0" t="0"/>
                    <a:stretch>
                      <a:fillRect/>
                    </a:stretch>
                  </pic:blipFill>
                  <pic:spPr>
                    <a:xfrm>
                      <a:off x="0" y="0"/>
                      <a:ext cx="1319637" cy="90533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Century Gothic" w:cs="Century Gothic" w:eastAsia="Century Gothic" w:hAnsi="Century Gothic"/>
          <w:b w:val="1"/>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1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5">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108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108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Introducción</w:t>
      </w:r>
    </w:p>
    <w:p w:rsidR="00000000" w:rsidDel="00000000" w:rsidP="00000000" w:rsidRDefault="00000000" w:rsidRPr="00000000" w14:paraId="00000019">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presente documento de estudio de mercado tiene como propósito describir y orientar el proceso de construcción de los rubros presupuestales que componen el proyecto de inversión, a fin de determinar el costo total del mismo en el Departamento seleccionado para su formulación y/o ejecución.</w:t>
      </w:r>
    </w:p>
    <w:p w:rsidR="00000000" w:rsidDel="00000000" w:rsidP="00000000" w:rsidRDefault="00000000" w:rsidRPr="00000000" w14:paraId="0000001B">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presupuesto que soporta la formulación del proyecto permite conocer la oferta de las diferentes actividades que se pretenden desarrollar en el proyecto, y evidencian los precios de referencia en el mercado actual. </w:t>
      </w:r>
    </w:p>
    <w:p w:rsidR="00000000" w:rsidDel="00000000" w:rsidP="00000000" w:rsidRDefault="00000000" w:rsidRPr="00000000" w14:paraId="0000001D">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presente documento, se presentan los valores del mercado actual con los cuales se realiza el análisis de estudio mercado, sin embargo según el Departamento de implementación, el equipo formulador deberá buscar por rubro mínimo (3) empresas con los cuales se soporta y  justifica los valores finales del presupuesto, así mismo se deberá adjuntar los respectivos soportes a cada rubro. De presentarse Proveedor exclusivo, este deberá ser justificado. </w:t>
      </w:r>
    </w:p>
    <w:p w:rsidR="00000000" w:rsidDel="00000000" w:rsidP="00000000" w:rsidRDefault="00000000" w:rsidRPr="00000000" w14:paraId="0000001F">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continuación, se describen los rubros que componen la estructura del presupuesto, y se sustenta el precio de referencia señalado en cada uno de ellos: </w:t>
      </w:r>
    </w:p>
    <w:p w:rsidR="00000000" w:rsidDel="00000000" w:rsidP="00000000" w:rsidRDefault="00000000" w:rsidRPr="00000000" w14:paraId="00000021">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Resumen del presupuesto.</w:t>
      </w:r>
    </w:p>
    <w:p w:rsidR="00000000" w:rsidDel="00000000" w:rsidP="00000000" w:rsidRDefault="00000000" w:rsidRPr="00000000" w14:paraId="0000002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4">
      <w:pP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Esta pestaña permite visualizar los costos totales por cada uno de los rubros que componen presupuesto que soporta la formulación del proyecto, así mismo evidenciar la participación financiera de los diferentes aliados, así como los recursos con los cuales será financiado el proyecto de inversión. </w:t>
      </w:r>
      <w:r w:rsidDel="00000000" w:rsidR="00000000" w:rsidRPr="00000000">
        <w:rPr>
          <w:rtl w:val="0"/>
        </w:rPr>
      </w:r>
    </w:p>
    <w:p w:rsidR="00000000" w:rsidDel="00000000" w:rsidP="00000000" w:rsidRDefault="00000000" w:rsidRPr="00000000" w14:paraId="00000025">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Talento Humano.</w:t>
      </w:r>
      <w:r w:rsidDel="00000000" w:rsidR="00000000" w:rsidRPr="00000000">
        <w:rPr>
          <w:rtl w:val="0"/>
        </w:rPr>
      </w:r>
    </w:p>
    <w:p w:rsidR="00000000" w:rsidDel="00000000" w:rsidP="00000000" w:rsidRDefault="00000000" w:rsidRPr="00000000" w14:paraId="00000027">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registra la información relacionada con todos los perfiles y cargos de las personas que conformarán el proyecto, rol, y funciones, los cuales tendrán una participación transversal (duración total del proyecto) y/o aquellos que tienen una participación limitada según el cronograma de cada una de las actividades que compone el proyecto.</w:t>
      </w:r>
    </w:p>
    <w:p w:rsidR="00000000" w:rsidDel="00000000" w:rsidP="00000000" w:rsidRDefault="00000000" w:rsidRPr="00000000" w14:paraId="00000029">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presupuesto elaborado a este proyecto modelo el cálculo del costo del talento humano, se toma con base a la resolución No. 426 de 2014 “por la cual se establecen los topes máximos a pagar al personal que desarrolle actividades, programas y proyectos financiados con recursos del Sistema General de Regalías, estos topes se actualizan de acuerdo al SMLV. </w:t>
      </w:r>
    </w:p>
    <w:p w:rsidR="00000000" w:rsidDel="00000000" w:rsidP="00000000" w:rsidRDefault="00000000" w:rsidRPr="00000000" w14:paraId="0000002B">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 link:</w:t>
      </w:r>
    </w:p>
    <w:p w:rsidR="00000000" w:rsidDel="00000000" w:rsidP="00000000" w:rsidRDefault="00000000" w:rsidRPr="00000000" w14:paraId="0000002C">
      <w:pPr>
        <w:jc w:val="both"/>
        <w:rPr>
          <w:rFonts w:ascii="Century Gothic" w:cs="Century Gothic" w:eastAsia="Century Gothic" w:hAnsi="Century Gothic"/>
          <w:color w:val="0000ff"/>
          <w:sz w:val="22"/>
          <w:szCs w:val="22"/>
        </w:rPr>
      </w:pPr>
      <w:hyperlink r:id="rId11">
        <w:r w:rsidDel="00000000" w:rsidR="00000000" w:rsidRPr="00000000">
          <w:rPr>
            <w:rFonts w:ascii="Century Gothic" w:cs="Century Gothic" w:eastAsia="Century Gothic" w:hAnsi="Century Gothic"/>
            <w:color w:val="0000ff"/>
            <w:sz w:val="22"/>
            <w:szCs w:val="22"/>
            <w:u w:val="single"/>
            <w:rtl w:val="0"/>
          </w:rPr>
          <w:t xml:space="preserve">https://minciencias.gov.co/sites/default/files/upload/reglamentacion/resolucion426-2014.pdf</w:t>
        </w:r>
      </w:hyperlink>
      <w:r w:rsidDel="00000000" w:rsidR="00000000" w:rsidRPr="00000000">
        <w:rPr>
          <w:rFonts w:ascii="Century Gothic" w:cs="Century Gothic" w:eastAsia="Century Gothic" w:hAnsi="Century Gothic"/>
          <w:color w:val="0000ff"/>
          <w:sz w:val="22"/>
          <w:szCs w:val="22"/>
          <w:rtl w:val="0"/>
        </w:rPr>
        <w:t xml:space="preserve"> </w:t>
      </w:r>
    </w:p>
    <w:p w:rsidR="00000000" w:rsidDel="00000000" w:rsidP="00000000" w:rsidRDefault="00000000" w:rsidRPr="00000000" w14:paraId="0000002D">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 la elaboración del rubro, se aclara que tomar la referencia no es una condición obligatoria o limitante, para la elaboración de presupuestos en el marco del proyecto modelo. Los costos de talento humano también podrán ser calculados con base a las diferentes resoluciones de honorarios establecidos en los diferentes Departamentos y/o Entidades proponentes del proyecto. </w:t>
      </w:r>
    </w:p>
    <w:p w:rsidR="00000000" w:rsidDel="00000000" w:rsidP="00000000" w:rsidRDefault="00000000" w:rsidRPr="00000000" w14:paraId="0000002F">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0">
      <w:pPr>
        <w:numPr>
          <w:ilvl w:val="0"/>
          <w:numId w:val="3"/>
        </w:numPr>
        <w:ind w:left="720" w:hanging="360"/>
        <w:jc w:val="both"/>
        <w:rPr>
          <w:rFonts w:ascii="Century Gothic" w:cs="Century Gothic" w:eastAsia="Century Gothic" w:hAnsi="Century Gothic"/>
          <w:color w:val="000000"/>
          <w:sz w:val="22"/>
          <w:szCs w:val="22"/>
        </w:rPr>
      </w:pPr>
      <w:r w:rsidDel="00000000" w:rsidR="00000000" w:rsidRPr="00000000">
        <w:rPr>
          <w:rFonts w:ascii="Century Gothic" w:cs="Century Gothic" w:eastAsia="Century Gothic" w:hAnsi="Century Gothic"/>
          <w:b w:val="1"/>
          <w:sz w:val="22"/>
          <w:szCs w:val="22"/>
          <w:rtl w:val="0"/>
        </w:rPr>
        <w:t xml:space="preserve">Servicios tecnológico</w:t>
      </w:r>
      <w:r w:rsidDel="00000000" w:rsidR="00000000" w:rsidRPr="00000000">
        <w:rPr>
          <w:rtl w:val="0"/>
        </w:rPr>
      </w:r>
    </w:p>
    <w:p w:rsidR="00000000" w:rsidDel="00000000" w:rsidP="00000000" w:rsidRDefault="00000000" w:rsidRPr="00000000" w14:paraId="00000031">
      <w:pP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32">
      <w:pP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permite la adquisición de servicios tecnológicos especializados para las actividades propias del desarrollo del proyecto. Su necesidad y cantidad debe soportarse en sus respectivas justificaciones técnicas.</w:t>
      </w:r>
    </w:p>
    <w:p w:rsidR="00000000" w:rsidDel="00000000" w:rsidP="00000000" w:rsidRDefault="00000000" w:rsidRPr="00000000" w14:paraId="00000033">
      <w:pP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 el objetivo de contar con una aplicación de uso de tecnologías y plataforma digital que permita a la región seleccionada superar los desafíos tradicionales en la gestión de destinos, y mejorar la competitividad de estos territorios. Por tal razón, en esta actividad se contempla el diseño, creación e implementación de una aplicación móvil (APP) que tenga como fin articular la oferta y demanda turística del departamento. </w:t>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APP comprenderá toda la oferta e información del destino que permitirá la concentración de los prestadores turísticos en los segmentos (alojamiento, restaurantes, actividades turísticas, transportes, productos, atractivos turísticos, eventos, etc.)</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Estas aplicaciones brindan a los turistas toda la información que necesitan para planificar y organizar sus viajes, pero también tienen el potencial de influir en las decisiones que toman los turistas en cada etapa del viaje. </w:t>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contemplan 12 meses de soporte y mantenimiento a la App Móvil el cual equivale al 10% de su costo total. </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La Información disponible en la App deberá orientarse a los destinos de:</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Santa Marta</w:t>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Ciénaga</w:t>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Aracataca</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Pueblo Viejo </w:t>
      </w:r>
    </w:p>
    <w:p w:rsidR="00000000" w:rsidDel="00000000" w:rsidP="00000000" w:rsidRDefault="00000000" w:rsidRPr="00000000" w14:paraId="00000042">
      <w:pPr>
        <w:numPr>
          <w:ilvl w:val="0"/>
          <w:numId w:val="1"/>
        </w:numPr>
        <w:pBdr>
          <w:top w:space="0" w:sz="0" w:val="nil"/>
          <w:left w:space="0" w:sz="0" w:val="nil"/>
          <w:bottom w:space="0" w:sz="0" w:val="nil"/>
          <w:right w:space="0" w:sz="0" w:val="nil"/>
          <w:between w:space="0" w:sz="0" w:val="nil"/>
        </w:pBd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Sitionuevo</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Zona Bananera</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Fundación</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Retén</w:t>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Plato</w:t>
      </w:r>
    </w:p>
    <w:p w:rsidR="00000000" w:rsidDel="00000000" w:rsidP="00000000" w:rsidRDefault="00000000" w:rsidRPr="00000000" w14:paraId="00000047">
      <w:pPr>
        <w:numPr>
          <w:ilvl w:val="0"/>
          <w:numId w:val="1"/>
        </w:numPr>
        <w:pBdr>
          <w:top w:space="0" w:sz="0" w:val="nil"/>
          <w:left w:space="0" w:sz="0" w:val="nil"/>
          <w:bottom w:space="0" w:sz="0" w:val="nil"/>
          <w:right w:space="0" w:sz="0" w:val="nil"/>
          <w:between w:space="0" w:sz="0" w:val="nil"/>
        </w:pBd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Nueva Granada</w:t>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San Sebastián de Buenavista</w:t>
      </w:r>
    </w:p>
    <w:p w:rsidR="00000000" w:rsidDel="00000000" w:rsidP="00000000" w:rsidRDefault="00000000" w:rsidRPr="00000000" w14:paraId="00000049">
      <w:pPr>
        <w:numPr>
          <w:ilvl w:val="0"/>
          <w:numId w:val="1"/>
        </w:numPr>
        <w:pBdr>
          <w:top w:space="0" w:sz="0" w:val="nil"/>
          <w:left w:space="0" w:sz="0" w:val="nil"/>
          <w:bottom w:space="0" w:sz="0" w:val="nil"/>
          <w:right w:space="0" w:sz="0" w:val="nil"/>
          <w:between w:space="0" w:sz="0" w:val="nil"/>
        </w:pBdr>
        <w:ind w:left="144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Banco</w:t>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144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B">
      <w:pP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Los proveedores del Desarrollo del servicio en los cuales se costeó la propuesta son:</w:t>
      </w:r>
    </w:p>
    <w:p w:rsidR="00000000" w:rsidDel="00000000" w:rsidP="00000000" w:rsidRDefault="00000000" w:rsidRPr="00000000" w14:paraId="0000004C">
      <w:pP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2"/>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VALORES PROMEDIOS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$ 456.000.000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2">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$ 600.000.000</w:t>
            </w:r>
          </w:p>
        </w:tc>
      </w:tr>
    </w:tbl>
    <w:p w:rsidR="00000000" w:rsidDel="00000000" w:rsidP="00000000" w:rsidRDefault="00000000" w:rsidRPr="00000000" w14:paraId="00000053">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4">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2"/>
          <w:szCs w:val="22"/>
          <w:rtl w:val="0"/>
        </w:rPr>
        <w:t xml:space="preserve">: No olvide que se deberá soportar a través de mínimo (3) cotizaciones los valores del mercado y el criterio de selección. </w:t>
      </w:r>
    </w:p>
    <w:p w:rsidR="00000000" w:rsidDel="00000000" w:rsidP="00000000" w:rsidRDefault="00000000" w:rsidRPr="00000000" w14:paraId="00000055">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Capacitación y participación en eventos.</w:t>
      </w:r>
      <w:r w:rsidDel="00000000" w:rsidR="00000000" w:rsidRPr="00000000">
        <w:rPr>
          <w:rtl w:val="0"/>
        </w:rPr>
      </w:r>
    </w:p>
    <w:p w:rsidR="00000000" w:rsidDel="00000000" w:rsidP="00000000" w:rsidRDefault="00000000" w:rsidRPr="00000000" w14:paraId="00000057">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5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presenta todas las acciones que en el marco de la ejecución presupuestal requieran de eventos de formación tales como seminarios, desarrollo de talleres, y mesas de trabajo que requieran la participación de la comunidad, ya sea por el cumplimiento de una meta, para la elaboración de un producto y/o entregable del proyecto de Inversión. </w:t>
      </w:r>
    </w:p>
    <w:p w:rsidR="00000000" w:rsidDel="00000000" w:rsidP="00000000" w:rsidRDefault="00000000" w:rsidRPr="00000000" w14:paraId="00000059">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del modelo Proyecto, este rubro se contempló con cada uno de los insumos requeridos para desarrollar las diferentes sesiones de los seminarios, y talleres que se desarrollan en el Objetivo No. 2.</w:t>
      </w:r>
    </w:p>
    <w:p w:rsidR="00000000" w:rsidDel="00000000" w:rsidP="00000000" w:rsidRDefault="00000000" w:rsidRPr="00000000" w14:paraId="0000005B">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aclara que esta labor también puede ser cotizada por un proveedor tenga experiencia en el desarrollo de actividades que enmarcan el propósito del proyecto y de las temáticas descritas en cada una de las metodologías. </w:t>
      </w:r>
    </w:p>
    <w:p w:rsidR="00000000" w:rsidDel="00000000" w:rsidP="00000000" w:rsidRDefault="00000000" w:rsidRPr="00000000" w14:paraId="0000005D">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5E">
      <w:pP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En el marco del proyecto “</w:t>
      </w:r>
      <w:r w:rsidDel="00000000" w:rsidR="00000000" w:rsidRPr="00000000">
        <w:rPr>
          <w:rFonts w:ascii="Century Gothic" w:cs="Century Gothic" w:eastAsia="Century Gothic" w:hAnsi="Century Gothic"/>
          <w:b w:val="1"/>
          <w:rtl w:val="0"/>
        </w:rPr>
        <w:t xml:space="preserve">Fortalecimiento del desarrollo turístico a través de la planeación sectorial y la promoción del turismo en el Departamento de Magdalena</w:t>
      </w:r>
      <w:r w:rsidDel="00000000" w:rsidR="00000000" w:rsidRPr="00000000">
        <w:rPr>
          <w:rFonts w:ascii="Century Gothic" w:cs="Century Gothic" w:eastAsia="Century Gothic" w:hAnsi="Century Gothic"/>
          <w:sz w:val="22"/>
          <w:szCs w:val="22"/>
          <w:rtl w:val="0"/>
        </w:rPr>
        <w:t xml:space="preserve">” en el Rubro de capacitación se desarrolla la </w:t>
      </w:r>
      <w:r w:rsidDel="00000000" w:rsidR="00000000" w:rsidRPr="00000000">
        <w:rPr>
          <w:rFonts w:ascii="Century Gothic" w:cs="Century Gothic" w:eastAsia="Century Gothic" w:hAnsi="Century Gothic"/>
          <w:b w:val="1"/>
          <w:rtl w:val="0"/>
        </w:rPr>
        <w:t xml:space="preserve">Actividad 2.2 Implementar estrategia de articulación, relacionamiento y gestión de clientes por medio de las TICs a prestadores de servicios turísticos, y Actividad 2.3 Efectuar el desarrollo de la estrategia de promoción de marketing digital en torno a los destinos turísticos y la identidad regional</w:t>
      </w:r>
      <w:r w:rsidDel="00000000" w:rsidR="00000000" w:rsidRPr="00000000">
        <w:rPr>
          <w:rFonts w:ascii="Century Gothic" w:cs="Century Gothic" w:eastAsia="Century Gothic" w:hAnsi="Century Gothic"/>
          <w:b w:val="1"/>
          <w:sz w:val="22"/>
          <w:szCs w:val="22"/>
          <w:rtl w:val="0"/>
        </w:rPr>
        <w:t xml:space="preserve">.</w:t>
      </w:r>
    </w:p>
    <w:p w:rsidR="00000000" w:rsidDel="00000000" w:rsidP="00000000" w:rsidRDefault="00000000" w:rsidRPr="00000000" w14:paraId="0000005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 el objetivo de costear esta actividad, se contemplaron los costos variables, costos fijos y costos de transporte con los que cuenta la ejecución de la misma, y se detallan a continuación: </w:t>
      </w:r>
    </w:p>
    <w:p w:rsidR="00000000" w:rsidDel="00000000" w:rsidP="00000000" w:rsidRDefault="00000000" w:rsidRPr="00000000" w14:paraId="00000060">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61">
      <w:pPr>
        <w:jc w:val="both"/>
        <w:rPr>
          <w:rFonts w:ascii="Century Gothic" w:cs="Century Gothic" w:eastAsia="Century Gothic" w:hAnsi="Century Gothic"/>
          <w:sz w:val="22"/>
          <w:szCs w:val="22"/>
        </w:rPr>
      </w:pPr>
      <w:r w:rsidDel="00000000" w:rsidR="00000000" w:rsidRPr="00000000">
        <w:rPr>
          <w:rtl w:val="0"/>
        </w:rPr>
      </w:r>
    </w:p>
    <w:tbl>
      <w:tblPr>
        <w:tblStyle w:val="Table3"/>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608"/>
        <w:gridCol w:w="3825"/>
        <w:gridCol w:w="3395"/>
        <w:tblGridChange w:id="0">
          <w:tblGrid>
            <w:gridCol w:w="1608"/>
            <w:gridCol w:w="3825"/>
            <w:gridCol w:w="339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VARIABLES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Talento humano.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9">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al personal especializado para el desarrollo del taller en las temáticas propuestas en cada una de las metodologías, es el encargado de transferir conocimientos, motivar e incentivar a los empresarios del Departamento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Los costos del formador y experto turístico, así como del formador del componente tecnológico (aplicación) se calcularon en función de la resolución 426 de 2014 426 de 2014 “por la cual se establecen los topes máximos a pagar al personal que desarrolle actividades, programas y proyectos financiados con recursos del Sistema General de Regalías, estos topes se actualizan de acuerdo al SMLV , se toma como referencia el costo proporcional por hora.</w:t>
            </w:r>
          </w:p>
          <w:p w:rsidR="00000000" w:rsidDel="00000000" w:rsidP="00000000" w:rsidRDefault="00000000" w:rsidRPr="00000000" w14:paraId="0000006B">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 este valor también puede ser presentado por un proveedor de servicios que demuestre tener personal idóneo y con experiencia en las temáticas propuestas.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Infraestructura física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costos correspondientes a los espacios dispuestos y en condiciones tecnológicas para el desarrollo de los talleres y/o eventos de formación que requieren la participación de la Comunidad, para efectos del presupuesto se costea y se toma como referentes el alquiler de los Auditorios de las Cámaras de comercio del Departamento, seleccionado y cajas de compensación que cuentan con el mismo espacio . </w:t>
            </w:r>
          </w:p>
          <w:p w:rsidR="00000000" w:rsidDel="00000000" w:rsidP="00000000" w:rsidRDefault="00000000" w:rsidRPr="00000000" w14:paraId="0000006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 </w:t>
            </w:r>
            <w:r w:rsidDel="00000000" w:rsidR="00000000" w:rsidRPr="00000000">
              <w:rPr>
                <w:rFonts w:ascii="Century Gothic" w:cs="Century Gothic" w:eastAsia="Century Gothic" w:hAnsi="Century Gothic"/>
                <w:sz w:val="20"/>
                <w:szCs w:val="20"/>
                <w:rtl w:val="0"/>
              </w:rPr>
              <w:t xml:space="preserve">Dependiendo del Aliado en la región, en el proceso de formulación se podrá establecer este gasto como contrapartida, si los aliados están de acuerdo.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tienen en cuenta los costos de alquiler por hora de la cámara de comercio de la Capital del Departamento (Santa marta) con la disponibilidad de ayudas audiovisuales (video beam, computador, sonido, micrófono, sistema de videoconferencia), mobiliario (sillas, mesas,tablero), asi como estación de café. </w:t>
            </w:r>
          </w:p>
          <w:p w:rsidR="00000000" w:rsidDel="00000000" w:rsidP="00000000" w:rsidRDefault="00000000" w:rsidRPr="00000000" w14:paraId="00000072">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tbl>
            <w:tblPr>
              <w:tblStyle w:val="Table4"/>
              <w:tblW w:w="31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shd w:fill="ffffff" w:val="clear"/>
                </w:tcPr>
                <w:p w:rsidR="00000000" w:rsidDel="00000000" w:rsidP="00000000" w:rsidRDefault="00000000" w:rsidRPr="00000000" w14:paraId="00000074">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Auditorio</w:t>
                  </w:r>
                </w:p>
              </w:tc>
              <w:tc>
                <w:tcPr>
                  <w:shd w:fill="ffffff" w:val="clear"/>
                  <w:vAlign w:val="center"/>
                </w:tcPr>
                <w:p w:rsidR="00000000" w:rsidDel="00000000" w:rsidP="00000000" w:rsidRDefault="00000000" w:rsidRPr="00000000" w14:paraId="0000007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hora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07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$80.750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07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$102.000</w:t>
                  </w:r>
                </w:p>
              </w:tc>
            </w:tr>
            <w:tr>
              <w:trPr>
                <w:cantSplit w:val="0"/>
                <w:tblHeader w:val="0"/>
              </w:trPr>
              <w:tc>
                <w:tcPr>
                  <w:shd w:fill="ffffff" w:val="clear"/>
                  <w:vAlign w:val="center"/>
                </w:tcPr>
                <w:p w:rsidR="00000000" w:rsidDel="00000000" w:rsidP="00000000" w:rsidRDefault="00000000" w:rsidRPr="00000000" w14:paraId="0000007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Proveedor 3</w:t>
                  </w:r>
                  <w:r w:rsidDel="00000000" w:rsidR="00000000" w:rsidRPr="00000000">
                    <w:rPr>
                      <w:rtl w:val="0"/>
                    </w:rPr>
                  </w:r>
                </w:p>
              </w:tc>
              <w:tc>
                <w:tcPr>
                  <w:shd w:fill="ffffff" w:val="clear"/>
                  <w:vAlign w:val="center"/>
                </w:tcPr>
                <w:p w:rsidR="00000000" w:rsidDel="00000000" w:rsidP="00000000" w:rsidRDefault="00000000" w:rsidRPr="00000000" w14:paraId="0000007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$76.000</w:t>
                  </w:r>
                </w:p>
              </w:tc>
            </w:tr>
          </w:tbl>
          <w:p w:rsidR="00000000" w:rsidDel="00000000" w:rsidP="00000000" w:rsidRDefault="00000000" w:rsidRPr="00000000" w14:paraId="0000007C">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D">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r w:rsidDel="00000000" w:rsidR="00000000" w:rsidRPr="00000000">
              <w:rPr>
                <w:rtl w:val="0"/>
              </w:rPr>
            </w:r>
          </w:p>
          <w:p w:rsidR="00000000" w:rsidDel="00000000" w:rsidP="00000000" w:rsidRDefault="00000000" w:rsidRPr="00000000" w14:paraId="0000007E">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hace referencia a los insumos que requerirán los beneficiarios del Seminario,para efectos del proyecto se realizo el coste de un kit que consta de Agenda con logo del proyecto de 80 páginas, esfero tinto negra marcado con el logo del proyecto, y un folleto tipo cartilla a blanco y negro)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toman como referencia los costos de cada Kit a través del análisis presentado a través de las siguientes empresas ubicadas en la Capital del país, sin embargo, se podrá considerar un proveedor de la región:</w:t>
            </w:r>
          </w:p>
          <w:p w:rsidR="00000000" w:rsidDel="00000000" w:rsidP="00000000" w:rsidRDefault="00000000" w:rsidRPr="00000000" w14:paraId="00000082">
            <w:pPr>
              <w:jc w:val="both"/>
              <w:rPr>
                <w:rFonts w:ascii="Century Gothic" w:cs="Century Gothic" w:eastAsia="Century Gothic" w:hAnsi="Century Gothic"/>
                <w:sz w:val="20"/>
                <w:szCs w:val="20"/>
              </w:rPr>
            </w:pPr>
            <w:r w:rsidDel="00000000" w:rsidR="00000000" w:rsidRPr="00000000">
              <w:rPr>
                <w:rtl w:val="0"/>
              </w:rPr>
            </w:r>
          </w:p>
          <w:tbl>
            <w:tblPr>
              <w:tblStyle w:val="Table5"/>
              <w:tblW w:w="31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shd w:fill="ffffff" w:val="clear"/>
                </w:tcPr>
                <w:p w:rsidR="00000000" w:rsidDel="00000000" w:rsidP="00000000" w:rsidRDefault="00000000" w:rsidRPr="00000000" w14:paraId="0000008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shd w:fill="ffffff" w:val="clear"/>
                  <w:vAlign w:val="center"/>
                </w:tcPr>
                <w:p w:rsidR="00000000" w:rsidDel="00000000" w:rsidP="00000000" w:rsidRDefault="00000000" w:rsidRPr="00000000" w14:paraId="0000008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08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$29.000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08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$25.000</w:t>
                  </w:r>
                </w:p>
              </w:tc>
            </w:tr>
            <w:tr>
              <w:trPr>
                <w:cantSplit w:val="0"/>
                <w:tblHeader w:val="0"/>
              </w:trPr>
              <w:tc>
                <w:tcPr>
                  <w:shd w:fill="ffffff" w:val="clear"/>
                  <w:vAlign w:val="center"/>
                </w:tcPr>
                <w:p w:rsidR="00000000" w:rsidDel="00000000" w:rsidP="00000000" w:rsidRDefault="00000000" w:rsidRPr="00000000" w14:paraId="00000089">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Proveedor 3</w:t>
                  </w:r>
                  <w:r w:rsidDel="00000000" w:rsidR="00000000" w:rsidRPr="00000000">
                    <w:rPr>
                      <w:rtl w:val="0"/>
                    </w:rPr>
                  </w:r>
                </w:p>
              </w:tc>
              <w:tc>
                <w:tcPr>
                  <w:shd w:fill="ffffff" w:val="clear"/>
                  <w:vAlign w:val="center"/>
                </w:tcPr>
                <w:p w:rsidR="00000000" w:rsidDel="00000000" w:rsidP="00000000" w:rsidRDefault="00000000" w:rsidRPr="00000000" w14:paraId="0000008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$21.000</w:t>
                  </w:r>
                </w:p>
              </w:tc>
            </w:tr>
          </w:tbl>
          <w:p w:rsidR="00000000" w:rsidDel="00000000" w:rsidP="00000000" w:rsidRDefault="00000000" w:rsidRPr="00000000" w14:paraId="0000008B">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 </w:t>
            </w:r>
          </w:p>
          <w:p w:rsidR="00000000" w:rsidDel="00000000" w:rsidP="00000000" w:rsidRDefault="00000000" w:rsidRPr="00000000" w14:paraId="0000008D">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E">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20"/>
                <w:szCs w:val="20"/>
                <w:rtl w:val="0"/>
              </w:rPr>
              <w:t xml:space="preserve">Recor</w:t>
            </w:r>
            <w:r w:rsidDel="00000000" w:rsidR="00000000" w:rsidRPr="00000000">
              <w:rPr>
                <w:rFonts w:ascii="Century Gothic" w:cs="Century Gothic" w:eastAsia="Century Gothic" w:hAnsi="Century Gothic"/>
                <w:b w:val="1"/>
                <w:sz w:val="18"/>
                <w:szCs w:val="18"/>
                <w:rtl w:val="0"/>
              </w:rPr>
              <w:t xml:space="preserve">da</w:t>
            </w:r>
            <w:r w:rsidDel="00000000" w:rsidR="00000000" w:rsidRPr="00000000">
              <w:rPr>
                <w:rFonts w:ascii="Century Gothic" w:cs="Century Gothic" w:eastAsia="Century Gothic" w:hAnsi="Century Gothic"/>
                <w:b w:val="1"/>
                <w:sz w:val="20"/>
                <w:szCs w:val="20"/>
                <w:rtl w:val="0"/>
              </w:rPr>
              <w:t xml:space="preserve">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r w:rsidDel="00000000" w:rsidR="00000000" w:rsidRPr="00000000">
              <w:rPr>
                <w:rtl w:val="0"/>
              </w:rPr>
            </w:r>
          </w:p>
        </w:tc>
      </w:tr>
    </w:tbl>
    <w:p w:rsidR="00000000" w:rsidDel="00000000" w:rsidP="00000000" w:rsidRDefault="00000000" w:rsidRPr="00000000" w14:paraId="0000008F">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tbl>
      <w:tblPr>
        <w:tblStyle w:val="Table6"/>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0"/>
        <w:gridCol w:w="3865"/>
        <w:gridCol w:w="3423"/>
        <w:tblGridChange w:id="0">
          <w:tblGrid>
            <w:gridCol w:w="1540"/>
            <w:gridCol w:w="3865"/>
            <w:gridCol w:w="342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FIJOS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Talento humano.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al personal operativo que se requerirá en la ejecución de la actividad, desde el despliegue de la convocatoria, hasta el desarrollo de las sesiones de trabajo con los beneficiarios, se calcularon el coordinador técnico y operativo, y un asistente técnico por cada una de las subregiones del departamento durante los (2) meses de ejecución de este componente.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9">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Los costos de honorarios se calcularon en función de la resolución 426 de 2014 426 de 2014 “por la cual se establecen los topes máximos a pagar al personal que desarrolle actividades, programas y proyectos financiados con recursos del Sistema General de Regalías, estos topes se actualizan de acuerdo al SMLV , se toma como referencia el costo proporcional por hora.</w:t>
            </w:r>
          </w:p>
          <w:p w:rsidR="00000000" w:rsidDel="00000000" w:rsidP="00000000" w:rsidRDefault="00000000" w:rsidRPr="00000000" w14:paraId="0000009A">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 este valor también puede ser presentado por un proveedor de servicios que demuestre tener personal idóneo y con experiencia en las temáticas propuestas.</w:t>
            </w:r>
          </w:p>
          <w:p w:rsidR="00000000" w:rsidDel="00000000" w:rsidP="00000000" w:rsidRDefault="00000000" w:rsidRPr="00000000" w14:paraId="0000009C">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D">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identificación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F">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Hace referencia a los insumos que requerirá el personal operativo del proyecto para ser identificado, se prevén camisetas y gorras con los logos del proyecto.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0">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Camisas polo. </w:t>
            </w:r>
          </w:p>
          <w:p w:rsidR="00000000" w:rsidDel="00000000" w:rsidP="00000000" w:rsidRDefault="00000000" w:rsidRPr="00000000" w14:paraId="000000A1">
            <w:pPr>
              <w:jc w:val="both"/>
              <w:rPr>
                <w:rFonts w:ascii="Century Gothic" w:cs="Century Gothic" w:eastAsia="Century Gothic" w:hAnsi="Century Gothic"/>
                <w:sz w:val="20"/>
                <w:szCs w:val="20"/>
              </w:rPr>
            </w:pPr>
            <w:r w:rsidDel="00000000" w:rsidR="00000000" w:rsidRPr="00000000">
              <w:rPr>
                <w:rtl w:val="0"/>
              </w:rPr>
            </w:r>
          </w:p>
          <w:tbl>
            <w:tblPr>
              <w:tblStyle w:val="Table7"/>
              <w:tblW w:w="31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shd w:fill="ffffff" w:val="clear"/>
                </w:tcPr>
                <w:p w:rsidR="00000000" w:rsidDel="00000000" w:rsidP="00000000" w:rsidRDefault="00000000" w:rsidRPr="00000000" w14:paraId="000000A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c>
                <w:tcPr>
                  <w:shd w:fill="ffffff" w:val="clear"/>
                  <w:vAlign w:val="center"/>
                </w:tcPr>
                <w:p w:rsidR="00000000" w:rsidDel="00000000" w:rsidP="00000000" w:rsidRDefault="00000000" w:rsidRPr="00000000" w14:paraId="000000A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4">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0A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$35.000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0A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$27.000</w:t>
                  </w:r>
                </w:p>
              </w:tc>
            </w:tr>
            <w:tr>
              <w:trPr>
                <w:cantSplit w:val="0"/>
                <w:tblHeader w:val="0"/>
              </w:trPr>
              <w:tc>
                <w:tcPr>
                  <w:shd w:fill="ffffff" w:val="clear"/>
                  <w:vAlign w:val="center"/>
                </w:tcPr>
                <w:p w:rsidR="00000000" w:rsidDel="00000000" w:rsidP="00000000" w:rsidRDefault="00000000" w:rsidRPr="00000000" w14:paraId="000000A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Proveedor 3</w:t>
                  </w:r>
                  <w:r w:rsidDel="00000000" w:rsidR="00000000" w:rsidRPr="00000000">
                    <w:rPr>
                      <w:rtl w:val="0"/>
                    </w:rPr>
                  </w:r>
                </w:p>
              </w:tc>
              <w:tc>
                <w:tcPr>
                  <w:shd w:fill="ffffff" w:val="clear"/>
                  <w:vAlign w:val="center"/>
                </w:tcPr>
                <w:p w:rsidR="00000000" w:rsidDel="00000000" w:rsidP="00000000" w:rsidRDefault="00000000" w:rsidRPr="00000000" w14:paraId="000000A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$29.000</w:t>
                  </w:r>
                </w:p>
              </w:tc>
            </w:tr>
          </w:tbl>
          <w:p w:rsidR="00000000" w:rsidDel="00000000" w:rsidP="00000000" w:rsidRDefault="00000000" w:rsidRPr="00000000" w14:paraId="000000AA">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B">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Gorras. </w:t>
            </w:r>
          </w:p>
          <w:p w:rsidR="00000000" w:rsidDel="00000000" w:rsidP="00000000" w:rsidRDefault="00000000" w:rsidRPr="00000000" w14:paraId="000000AC">
            <w:pPr>
              <w:jc w:val="both"/>
              <w:rPr>
                <w:rFonts w:ascii="Century Gothic" w:cs="Century Gothic" w:eastAsia="Century Gothic" w:hAnsi="Century Gothic"/>
                <w:sz w:val="20"/>
                <w:szCs w:val="20"/>
              </w:rPr>
            </w:pPr>
            <w:r w:rsidDel="00000000" w:rsidR="00000000" w:rsidRPr="00000000">
              <w:rPr>
                <w:rtl w:val="0"/>
              </w:rPr>
            </w:r>
          </w:p>
          <w:tbl>
            <w:tblPr>
              <w:tblStyle w:val="Table8"/>
              <w:tblW w:w="31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shd w:fill="ffffff" w:val="clear"/>
                </w:tcPr>
                <w:p w:rsidR="00000000" w:rsidDel="00000000" w:rsidP="00000000" w:rsidRDefault="00000000" w:rsidRPr="00000000" w14:paraId="000000A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c>
                <w:tcPr>
                  <w:shd w:fill="ffffff" w:val="clear"/>
                  <w:vAlign w:val="center"/>
                </w:tcPr>
                <w:p w:rsidR="00000000" w:rsidDel="00000000" w:rsidP="00000000" w:rsidRDefault="00000000" w:rsidRPr="00000000" w14:paraId="000000A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0B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$20.900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0B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$24.700</w:t>
                  </w:r>
                </w:p>
              </w:tc>
            </w:tr>
            <w:tr>
              <w:trPr>
                <w:cantSplit w:val="0"/>
                <w:tblHeader w:val="0"/>
              </w:trPr>
              <w:tc>
                <w:tcPr>
                  <w:shd w:fill="ffffff" w:val="clear"/>
                  <w:vAlign w:val="center"/>
                </w:tcPr>
                <w:p w:rsidR="00000000" w:rsidDel="00000000" w:rsidP="00000000" w:rsidRDefault="00000000" w:rsidRPr="00000000" w14:paraId="000000B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Proveedor 3</w:t>
                  </w:r>
                  <w:r w:rsidDel="00000000" w:rsidR="00000000" w:rsidRPr="00000000">
                    <w:rPr>
                      <w:rtl w:val="0"/>
                    </w:rPr>
                  </w:r>
                </w:p>
              </w:tc>
              <w:tc>
                <w:tcPr>
                  <w:shd w:fill="ffffff" w:val="clear"/>
                  <w:vAlign w:val="center"/>
                </w:tcPr>
                <w:p w:rsidR="00000000" w:rsidDel="00000000" w:rsidP="00000000" w:rsidRDefault="00000000" w:rsidRPr="00000000" w14:paraId="000000B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$22.900</w:t>
                  </w:r>
                </w:p>
              </w:tc>
            </w:tr>
          </w:tbl>
          <w:p w:rsidR="00000000" w:rsidDel="00000000" w:rsidP="00000000" w:rsidRDefault="00000000" w:rsidRPr="00000000" w14:paraId="000000B5">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B7">
            <w:pPr>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B8">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r w:rsidDel="00000000" w:rsidR="00000000" w:rsidRPr="00000000">
              <w:rPr>
                <w:rtl w:val="0"/>
              </w:rPr>
            </w:r>
          </w:p>
          <w:p w:rsidR="00000000" w:rsidDel="00000000" w:rsidP="00000000" w:rsidRDefault="00000000" w:rsidRPr="00000000" w14:paraId="000000B9">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Refrigerios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estiman de acuerdo al Número de sesiones del seminario que se realizarán con los participantes para esto se contempla, un refrigerio por persona por cada sesión. </w:t>
            </w:r>
          </w:p>
          <w:p w:rsidR="00000000" w:rsidDel="00000000" w:rsidP="00000000" w:rsidRDefault="00000000" w:rsidRPr="00000000" w14:paraId="000000BC">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D">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Estos pueden ser contratados por alguna empresa de la región que se encargue de refrigerios tipo empresarial, sin embargo, se sugieren alimentos en conserva para evitar inconvenientes de sanidad e intoxicación (se costea el refrigerio con jugo en caja marca Hit, ponqué gala, 1 manzana y 1 dulce de coco)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E">
            <w:pPr>
              <w:jc w:val="both"/>
              <w:rPr>
                <w:rFonts w:ascii="Century Gothic" w:cs="Century Gothic" w:eastAsia="Century Gothic" w:hAnsi="Century Gothic"/>
                <w:sz w:val="20"/>
                <w:szCs w:val="20"/>
              </w:rPr>
            </w:pPr>
            <w:r w:rsidDel="00000000" w:rsidR="00000000" w:rsidRPr="00000000">
              <w:rPr>
                <w:rtl w:val="0"/>
              </w:rPr>
            </w:r>
          </w:p>
          <w:tbl>
            <w:tblPr>
              <w:tblStyle w:val="Table9"/>
              <w:tblW w:w="31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shd w:fill="ffffff" w:val="clear"/>
                </w:tcPr>
                <w:p w:rsidR="00000000" w:rsidDel="00000000" w:rsidP="00000000" w:rsidRDefault="00000000" w:rsidRPr="00000000" w14:paraId="000000B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shd w:fill="ffffff" w:val="clear"/>
                  <w:vAlign w:val="center"/>
                </w:tcPr>
                <w:p w:rsidR="00000000" w:rsidDel="00000000" w:rsidP="00000000" w:rsidRDefault="00000000" w:rsidRPr="00000000" w14:paraId="000000C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0C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$4.900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0C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$5.400</w:t>
                  </w:r>
                </w:p>
              </w:tc>
            </w:tr>
            <w:tr>
              <w:trPr>
                <w:cantSplit w:val="0"/>
                <w:tblHeader w:val="0"/>
              </w:trPr>
              <w:tc>
                <w:tcPr>
                  <w:shd w:fill="ffffff" w:val="clear"/>
                  <w:vAlign w:val="center"/>
                </w:tcPr>
                <w:p w:rsidR="00000000" w:rsidDel="00000000" w:rsidP="00000000" w:rsidRDefault="00000000" w:rsidRPr="00000000" w14:paraId="000000C5">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Proveedor 3</w:t>
                  </w:r>
                  <w:r w:rsidDel="00000000" w:rsidR="00000000" w:rsidRPr="00000000">
                    <w:rPr>
                      <w:rtl w:val="0"/>
                    </w:rPr>
                  </w:r>
                </w:p>
              </w:tc>
              <w:tc>
                <w:tcPr>
                  <w:shd w:fill="ffffff" w:val="clear"/>
                  <w:vAlign w:val="center"/>
                </w:tcPr>
                <w:p w:rsidR="00000000" w:rsidDel="00000000" w:rsidP="00000000" w:rsidRDefault="00000000" w:rsidRPr="00000000" w14:paraId="000000C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$5.800</w:t>
                  </w:r>
                </w:p>
              </w:tc>
            </w:tr>
          </w:tbl>
          <w:p w:rsidR="00000000" w:rsidDel="00000000" w:rsidP="00000000" w:rsidRDefault="00000000" w:rsidRPr="00000000" w14:paraId="000000C7">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 </w:t>
            </w:r>
          </w:p>
          <w:p w:rsidR="00000000" w:rsidDel="00000000" w:rsidP="00000000" w:rsidRDefault="00000000" w:rsidRPr="00000000" w14:paraId="000000C9">
            <w:pPr>
              <w:jc w:val="both"/>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CA">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r w:rsidDel="00000000" w:rsidR="00000000" w:rsidRPr="00000000">
              <w:rPr>
                <w:rtl w:val="0"/>
              </w:rPr>
            </w:r>
          </w:p>
        </w:tc>
      </w:tr>
    </w:tbl>
    <w:p w:rsidR="00000000" w:rsidDel="00000000" w:rsidP="00000000" w:rsidRDefault="00000000" w:rsidRPr="00000000" w14:paraId="000000CB">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tbl>
      <w:tblPr>
        <w:tblStyle w:val="Table10"/>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7"/>
        <w:gridCol w:w="3907"/>
        <w:gridCol w:w="3424"/>
        <w:tblGridChange w:id="0">
          <w:tblGrid>
            <w:gridCol w:w="1497"/>
            <w:gridCol w:w="3907"/>
            <w:gridCol w:w="3424"/>
          </w:tblGrid>
        </w:tblGridChange>
      </w:tblGrid>
      <w:tr>
        <w:trPr>
          <w:cantSplit w:val="0"/>
          <w:tblHeader w:val="0"/>
        </w:trPr>
        <w:tc>
          <w:tcPr>
            <w:gridSpan w:val="3"/>
            <w:shd w:fill="ffffff" w:val="clear"/>
          </w:tcPr>
          <w:p w:rsidR="00000000" w:rsidDel="00000000" w:rsidP="00000000" w:rsidRDefault="00000000" w:rsidRPr="00000000" w14:paraId="000000C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TRANSPORTE</w:t>
            </w:r>
          </w:p>
        </w:tc>
      </w:tr>
      <w:tr>
        <w:trPr>
          <w:cantSplit w:val="0"/>
          <w:tblHeader w:val="0"/>
        </w:trPr>
        <w:tc>
          <w:tcPr>
            <w:shd w:fill="ffffff" w:val="clear"/>
            <w:vAlign w:val="center"/>
          </w:tcPr>
          <w:p w:rsidR="00000000" w:rsidDel="00000000" w:rsidP="00000000" w:rsidRDefault="00000000" w:rsidRPr="00000000" w14:paraId="000000D0">
            <w:pPr>
              <w:pBdr>
                <w:top w:space="0" w:sz="0" w:val="nil"/>
                <w:left w:space="0" w:sz="0" w:val="nil"/>
                <w:bottom w:space="0" w:sz="0" w:val="nil"/>
                <w:right w:space="0" w:sz="0" w:val="nil"/>
                <w:between w:space="0" w:sz="0" w:val="nil"/>
              </w:pBdr>
              <w:ind w:left="720" w:hanging="578"/>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shd w:fill="ffffff" w:val="clear"/>
            <w:vAlign w:val="center"/>
          </w:tcPr>
          <w:p w:rsidR="00000000" w:rsidDel="00000000" w:rsidP="00000000" w:rsidRDefault="00000000" w:rsidRPr="00000000" w14:paraId="000000D1">
            <w:pPr>
              <w:pBdr>
                <w:top w:space="0" w:sz="0" w:val="nil"/>
                <w:left w:space="0" w:sz="0" w:val="nil"/>
                <w:bottom w:space="0" w:sz="0" w:val="nil"/>
                <w:right w:space="0" w:sz="0" w:val="nil"/>
                <w:between w:space="0" w:sz="0" w:val="nil"/>
              </w:pBdr>
              <w:ind w:left="72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shd w:fill="ffffff" w:val="clear"/>
            <w:vAlign w:val="center"/>
          </w:tcPr>
          <w:p w:rsidR="00000000" w:rsidDel="00000000" w:rsidP="00000000" w:rsidRDefault="00000000" w:rsidRPr="00000000" w14:paraId="000000D2">
            <w:pPr>
              <w:pBdr>
                <w:top w:space="0" w:sz="0" w:val="nil"/>
                <w:left w:space="0" w:sz="0" w:val="nil"/>
                <w:bottom w:space="0" w:sz="0" w:val="nil"/>
                <w:right w:space="0" w:sz="0" w:val="nil"/>
                <w:between w:space="0" w:sz="0" w:val="nil"/>
              </w:pBdr>
              <w:ind w:left="72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shd w:fill="ffffff" w:val="clear"/>
            <w:vAlign w:val="center"/>
          </w:tcPr>
          <w:p w:rsidR="00000000" w:rsidDel="00000000" w:rsidP="00000000" w:rsidRDefault="00000000" w:rsidRPr="00000000" w14:paraId="000000D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transporte aéreo</w:t>
            </w:r>
          </w:p>
        </w:tc>
        <w:tc>
          <w:tcPr>
            <w:shd w:fill="ffffff" w:val="clear"/>
            <w:vAlign w:val="center"/>
          </w:tcPr>
          <w:p w:rsidR="00000000" w:rsidDel="00000000" w:rsidP="00000000" w:rsidRDefault="00000000" w:rsidRPr="00000000" w14:paraId="000000D4">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 los vuelos que requiere el personal especializado para el desarrollo del seminario en las temáticas propuestas en cada una de las metodologías, estos trayectos se realizan desde la ciudad de Bogotá hasta la ciudad capital del Departamento, y se calcula por trayecto el cual consta de Ida y regreso.  </w:t>
            </w:r>
          </w:p>
        </w:tc>
        <w:tc>
          <w:tcPr>
            <w:shd w:fill="ffffff" w:val="clear"/>
            <w:vAlign w:val="center"/>
          </w:tcPr>
          <w:p w:rsidR="00000000" w:rsidDel="00000000" w:rsidP="00000000" w:rsidRDefault="00000000" w:rsidRPr="00000000" w14:paraId="000000D5">
            <w:pPr>
              <w:jc w:val="both"/>
              <w:rPr>
                <w:rFonts w:ascii="Century Gothic" w:cs="Century Gothic" w:eastAsia="Century Gothic" w:hAnsi="Century Gothic"/>
                <w:sz w:val="20"/>
                <w:szCs w:val="20"/>
              </w:rPr>
            </w:pPr>
            <w:r w:rsidDel="00000000" w:rsidR="00000000" w:rsidRPr="00000000">
              <w:rPr>
                <w:rtl w:val="0"/>
              </w:rPr>
            </w:r>
          </w:p>
          <w:tbl>
            <w:tblPr>
              <w:tblStyle w:val="Table11"/>
              <w:tblW w:w="3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0"/>
              <w:gridCol w:w="1288"/>
              <w:tblGridChange w:id="0">
                <w:tblGrid>
                  <w:gridCol w:w="1910"/>
                  <w:gridCol w:w="1288"/>
                </w:tblGrid>
              </w:tblGridChange>
            </w:tblGrid>
            <w:tr>
              <w:trPr>
                <w:cantSplit w:val="0"/>
                <w:tblHeader w:val="0"/>
              </w:trPr>
              <w:tc>
                <w:tcPr>
                  <w:shd w:fill="ffffff" w:val="clear"/>
                </w:tcPr>
                <w:p w:rsidR="00000000" w:rsidDel="00000000" w:rsidP="00000000" w:rsidRDefault="00000000" w:rsidRPr="00000000" w14:paraId="000000D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 </w:t>
                  </w:r>
                </w:p>
              </w:tc>
              <w:tc>
                <w:tcPr>
                  <w:shd w:fill="ffffff" w:val="clear"/>
                  <w:vAlign w:val="center"/>
                </w:tcPr>
                <w:p w:rsidR="00000000" w:rsidDel="00000000" w:rsidP="00000000" w:rsidRDefault="00000000" w:rsidRPr="00000000" w14:paraId="000000D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TRAYECTO*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0D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$1.330.000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0D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$1.230.000</w:t>
                  </w:r>
                </w:p>
              </w:tc>
            </w:tr>
            <w:tr>
              <w:trPr>
                <w:cantSplit w:val="0"/>
                <w:tblHeader w:val="0"/>
              </w:trPr>
              <w:tc>
                <w:tcPr>
                  <w:shd w:fill="ffffff" w:val="clear"/>
                  <w:vAlign w:val="center"/>
                </w:tcPr>
                <w:p w:rsidR="00000000" w:rsidDel="00000000" w:rsidP="00000000" w:rsidRDefault="00000000" w:rsidRPr="00000000" w14:paraId="000000D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Proveedor 3</w:t>
                  </w:r>
                  <w:r w:rsidDel="00000000" w:rsidR="00000000" w:rsidRPr="00000000">
                    <w:rPr>
                      <w:rtl w:val="0"/>
                    </w:rPr>
                  </w:r>
                </w:p>
              </w:tc>
              <w:tc>
                <w:tcPr>
                  <w:shd w:fill="ffffff" w:val="clear"/>
                  <w:vAlign w:val="center"/>
                </w:tcPr>
                <w:p w:rsidR="00000000" w:rsidDel="00000000" w:rsidP="00000000" w:rsidRDefault="00000000" w:rsidRPr="00000000" w14:paraId="000000D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$1.100.000</w:t>
                  </w:r>
                </w:p>
              </w:tc>
            </w:tr>
          </w:tbl>
          <w:p w:rsidR="00000000" w:rsidDel="00000000" w:rsidP="00000000" w:rsidRDefault="00000000" w:rsidRPr="00000000" w14:paraId="000000DE">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F">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Se seleccionan los costes en temporada alta toda vez que estos vuelos pueden variar según las fechas de ejecución y se selecciona el más costoso por incertidumbre en la variación de los mismos.</w:t>
            </w:r>
          </w:p>
          <w:p w:rsidR="00000000" w:rsidDel="00000000" w:rsidP="00000000" w:rsidRDefault="00000000" w:rsidRPr="00000000" w14:paraId="000000E0">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E1">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E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transporte terrestre.</w:t>
            </w:r>
          </w:p>
        </w:tc>
        <w:tc>
          <w:tcPr>
            <w:shd w:fill="ffffff" w:val="clear"/>
            <w:vAlign w:val="center"/>
          </w:tcPr>
          <w:p w:rsidR="00000000" w:rsidDel="00000000" w:rsidP="00000000" w:rsidRDefault="00000000" w:rsidRPr="00000000" w14:paraId="000000E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 los trayectos terrestres que requiere el personal especializado para el desarrollo del seminario en las temáticas propuestas en cada una de las metodologías, estos trayectos se realizan desde la ciudad capital del Departamento, y se calcula el promedio de los costes por subregión.</w:t>
            </w:r>
          </w:p>
        </w:tc>
        <w:tc>
          <w:tcPr>
            <w:shd w:fill="ffffff" w:val="clear"/>
          </w:tcPr>
          <w:p w:rsidR="00000000" w:rsidDel="00000000" w:rsidP="00000000" w:rsidRDefault="00000000" w:rsidRPr="00000000" w14:paraId="000000E4">
            <w:pPr>
              <w:jc w:val="both"/>
              <w:rPr>
                <w:rFonts w:ascii="Century Gothic" w:cs="Century Gothic" w:eastAsia="Century Gothic" w:hAnsi="Century Gothic"/>
                <w:sz w:val="20"/>
                <w:szCs w:val="20"/>
              </w:rPr>
            </w:pPr>
            <w:r w:rsidDel="00000000" w:rsidR="00000000" w:rsidRPr="00000000">
              <w:rPr>
                <w:rtl w:val="0"/>
              </w:rPr>
            </w:r>
          </w:p>
          <w:tbl>
            <w:tblPr>
              <w:tblStyle w:val="Table12"/>
              <w:tblW w:w="3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3"/>
              <w:gridCol w:w="1145"/>
              <w:tblGridChange w:id="0">
                <w:tblGrid>
                  <w:gridCol w:w="2053"/>
                  <w:gridCol w:w="1145"/>
                </w:tblGrid>
              </w:tblGridChange>
            </w:tblGrid>
            <w:tr>
              <w:trPr>
                <w:cantSplit w:val="0"/>
                <w:tblHeader w:val="0"/>
              </w:trPr>
              <w:tc>
                <w:tcPr>
                  <w:shd w:fill="ffffff" w:val="clear"/>
                </w:tcPr>
                <w:p w:rsidR="00000000" w:rsidDel="00000000" w:rsidP="00000000" w:rsidRDefault="00000000" w:rsidRPr="00000000" w14:paraId="000000E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shd w:fill="ffffff" w:val="clear"/>
                  <w:vAlign w:val="center"/>
                </w:tcPr>
                <w:p w:rsidR="00000000" w:rsidDel="00000000" w:rsidP="00000000" w:rsidRDefault="00000000" w:rsidRPr="00000000" w14:paraId="000000E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0E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$47.500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0E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$25.000</w:t>
                  </w:r>
                </w:p>
              </w:tc>
            </w:tr>
            <w:tr>
              <w:trPr>
                <w:cantSplit w:val="0"/>
                <w:tblHeader w:val="0"/>
              </w:trPr>
              <w:tc>
                <w:tcPr>
                  <w:shd w:fill="ffffff" w:val="clear"/>
                  <w:vAlign w:val="center"/>
                </w:tcPr>
                <w:p w:rsidR="00000000" w:rsidDel="00000000" w:rsidP="00000000" w:rsidRDefault="00000000" w:rsidRPr="00000000" w14:paraId="000000E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Proveedor 3</w:t>
                  </w:r>
                  <w:r w:rsidDel="00000000" w:rsidR="00000000" w:rsidRPr="00000000">
                    <w:rPr>
                      <w:rtl w:val="0"/>
                    </w:rPr>
                  </w:r>
                </w:p>
              </w:tc>
              <w:tc>
                <w:tcPr>
                  <w:shd w:fill="ffffff" w:val="clear"/>
                  <w:vAlign w:val="center"/>
                </w:tcPr>
                <w:p w:rsidR="00000000" w:rsidDel="00000000" w:rsidP="00000000" w:rsidRDefault="00000000" w:rsidRPr="00000000" w14:paraId="000000E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$23.000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E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4</w:t>
                  </w:r>
                </w:p>
              </w:tc>
              <w:tc>
                <w:tcPr>
                  <w:shd w:fill="ffffff" w:val="clear"/>
                  <w:vAlign w:val="center"/>
                </w:tcPr>
                <w:p w:rsidR="00000000" w:rsidDel="00000000" w:rsidP="00000000" w:rsidRDefault="00000000" w:rsidRPr="00000000" w14:paraId="000000E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$60.000</w:t>
                  </w:r>
                </w:p>
              </w:tc>
            </w:tr>
          </w:tbl>
          <w:p w:rsidR="00000000" w:rsidDel="00000000" w:rsidP="00000000" w:rsidRDefault="00000000" w:rsidRPr="00000000" w14:paraId="000000E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F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Principales empresas que desde el terminal de Santa Marta se movilizan a los 29 municipios que conforman el departamento del Magdalena. </w:t>
            </w:r>
          </w:p>
          <w:p w:rsidR="00000000" w:rsidDel="00000000" w:rsidP="00000000" w:rsidRDefault="00000000" w:rsidRPr="00000000" w14:paraId="000000F1">
            <w:pPr>
              <w:jc w:val="both"/>
              <w:rPr>
                <w:rFonts w:ascii="Century Gothic" w:cs="Century Gothic" w:eastAsia="Century Gothic" w:hAnsi="Century Gothic"/>
                <w:sz w:val="20"/>
                <w:szCs w:val="20"/>
              </w:rPr>
            </w:pPr>
            <w:r w:rsidDel="00000000" w:rsidR="00000000" w:rsidRPr="00000000">
              <w:rPr>
                <w:rtl w:val="0"/>
              </w:rPr>
            </w:r>
          </w:p>
          <w:tbl>
            <w:tblPr>
              <w:tblStyle w:val="Table13"/>
              <w:tblW w:w="31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0"/>
              <w:gridCol w:w="1545"/>
              <w:tblGridChange w:id="0">
                <w:tblGrid>
                  <w:gridCol w:w="1650"/>
                  <w:gridCol w:w="1545"/>
                </w:tblGrid>
              </w:tblGridChange>
            </w:tblGrid>
            <w:tr>
              <w:trPr>
                <w:cantSplit w:val="0"/>
                <w:tblHeader w:val="0"/>
              </w:trPr>
              <w:tc>
                <w:tcPr>
                  <w:shd w:fill="ffffff" w:val="clear"/>
                </w:tcPr>
                <w:p w:rsidR="00000000" w:rsidDel="00000000" w:rsidP="00000000" w:rsidRDefault="00000000" w:rsidRPr="00000000" w14:paraId="000000F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shd w:fill="ffffff" w:val="clear"/>
                  <w:vAlign w:val="center"/>
                </w:tcPr>
                <w:p w:rsidR="00000000" w:rsidDel="00000000" w:rsidP="00000000" w:rsidRDefault="00000000" w:rsidRPr="00000000" w14:paraId="000000F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r>
            <w:tr>
              <w:trPr>
                <w:cantSplit w:val="0"/>
                <w:tblHeader w:val="0"/>
              </w:trPr>
              <w:tc>
                <w:tcPr>
                  <w:vMerge w:val="restart"/>
                  <w:shd w:fill="ffffff" w:val="clear"/>
                  <w:vAlign w:val="center"/>
                </w:tcPr>
                <w:p w:rsidR="00000000" w:rsidDel="00000000" w:rsidP="00000000" w:rsidRDefault="00000000" w:rsidRPr="00000000" w14:paraId="000000F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Centro magdalenense</w:t>
                  </w:r>
                </w:p>
              </w:tc>
              <w:tc>
                <w:tcPr>
                  <w:shd w:fill="ffffff" w:val="clear"/>
                  <w:vAlign w:val="center"/>
                </w:tcPr>
                <w:p w:rsidR="00000000" w:rsidDel="00000000" w:rsidP="00000000" w:rsidRDefault="00000000" w:rsidRPr="00000000" w14:paraId="000000F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Copetran</w:t>
                  </w:r>
                </w:p>
              </w:tc>
            </w:tr>
            <w:tr>
              <w:trPr>
                <w:cantSplit w:val="0"/>
                <w:tblHeader w:val="0"/>
              </w:trPr>
              <w:tc>
                <w:tcPr>
                  <w:vMerge w:val="continue"/>
                  <w:shd w:fill="ffffff" w:val="cle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F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Expreso Brasilia</w:t>
                  </w:r>
                </w:p>
              </w:tc>
            </w:tr>
            <w:tr>
              <w:trPr>
                <w:cantSplit w:val="0"/>
                <w:tblHeader w:val="0"/>
              </w:trPr>
              <w:tc>
                <w:tcPr>
                  <w:vMerge w:val="restart"/>
                  <w:shd w:fill="ffffff" w:val="clear"/>
                  <w:vAlign w:val="center"/>
                </w:tcPr>
                <w:p w:rsidR="00000000" w:rsidDel="00000000" w:rsidP="00000000" w:rsidRDefault="00000000" w:rsidRPr="00000000" w14:paraId="000000F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Subregión del río</w:t>
                  </w:r>
                </w:p>
              </w:tc>
              <w:tc>
                <w:tcPr>
                  <w:shd w:fill="ffffff" w:val="clear"/>
                  <w:vAlign w:val="center"/>
                </w:tcPr>
                <w:p w:rsidR="00000000" w:rsidDel="00000000" w:rsidP="00000000" w:rsidRDefault="00000000" w:rsidRPr="00000000" w14:paraId="000000F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Rutranscol</w:t>
                  </w:r>
                </w:p>
              </w:tc>
            </w:tr>
            <w:tr>
              <w:trPr>
                <w:cantSplit w:val="0"/>
                <w:tblHeader w:val="0"/>
              </w:trPr>
              <w:tc>
                <w:tcPr>
                  <w:vMerge w:val="continue"/>
                  <w:shd w:fill="ffffff" w:val="cle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F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samaria SAS</w:t>
                  </w:r>
                </w:p>
              </w:tc>
            </w:tr>
            <w:tr>
              <w:trPr>
                <w:cantSplit w:val="0"/>
                <w:tblHeader w:val="0"/>
              </w:trPr>
              <w:tc>
                <w:tcPr>
                  <w:vMerge w:val="continue"/>
                  <w:shd w:fill="ffffff" w:val="cle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F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Senderos S.A</w:t>
                  </w:r>
                </w:p>
              </w:tc>
            </w:tr>
            <w:tr>
              <w:trPr>
                <w:cantSplit w:val="0"/>
                <w:trHeight w:val="282" w:hRule="atLeast"/>
                <w:tblHeader w:val="0"/>
              </w:trPr>
              <w:tc>
                <w:tcPr>
                  <w:vMerge w:val="continue"/>
                  <w:shd w:fill="ffffff" w:val="cle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restart"/>
                  <w:shd w:fill="ffffff" w:val="clear"/>
                  <w:vAlign w:val="center"/>
                </w:tcPr>
                <w:p w:rsidR="00000000" w:rsidDel="00000000" w:rsidP="00000000" w:rsidRDefault="00000000" w:rsidRPr="00000000" w14:paraId="000000F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Estarter</w:t>
                  </w:r>
                </w:p>
              </w:tc>
            </w:tr>
            <w:tr>
              <w:trPr>
                <w:cantSplit w:val="0"/>
                <w:trHeight w:val="282" w:hRule="atLeast"/>
                <w:tblHeader w:val="0"/>
              </w:trPr>
              <w:tc>
                <w:tcPr>
                  <w:vMerge w:val="continue"/>
                  <w:shd w:fill="ffffff" w:val="cle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vMerge w:val="restart"/>
                  <w:shd w:fill="ffffff" w:val="clear"/>
                  <w:vAlign w:val="center"/>
                </w:tcPr>
                <w:p w:rsidR="00000000" w:rsidDel="00000000" w:rsidP="00000000" w:rsidRDefault="00000000" w:rsidRPr="00000000" w14:paraId="0000010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Subregión Norte</w:t>
                  </w:r>
                </w:p>
              </w:tc>
              <w:tc>
                <w:tcPr>
                  <w:shd w:fill="ffffff" w:val="clear"/>
                  <w:vAlign w:val="center"/>
                </w:tcPr>
                <w:p w:rsidR="00000000" w:rsidDel="00000000" w:rsidP="00000000" w:rsidRDefault="00000000" w:rsidRPr="00000000" w14:paraId="0000010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Berlinave</w:t>
                  </w:r>
                </w:p>
              </w:tc>
            </w:tr>
            <w:tr>
              <w:trPr>
                <w:cantSplit w:val="0"/>
                <w:trHeight w:val="746" w:hRule="atLeast"/>
                <w:tblHeader w:val="0"/>
              </w:trPr>
              <w:tc>
                <w:tcPr>
                  <w:vMerge w:val="continue"/>
                  <w:shd w:fill="ffffff" w:val="clear"/>
                  <w:vAlign w:val="cente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0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Cootracar</w:t>
                  </w:r>
                </w:p>
              </w:tc>
            </w:tr>
            <w:tr>
              <w:trPr>
                <w:cantSplit w:val="0"/>
                <w:tblHeader w:val="0"/>
              </w:trPr>
              <w:tc>
                <w:tcPr>
                  <w:vMerge w:val="restart"/>
                  <w:shd w:fill="ffffff" w:val="clear"/>
                  <w:vAlign w:val="center"/>
                </w:tcPr>
                <w:p w:rsidR="00000000" w:rsidDel="00000000" w:rsidP="00000000" w:rsidRDefault="00000000" w:rsidRPr="00000000" w14:paraId="0000010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Subregión del Sur</w:t>
                  </w:r>
                </w:p>
              </w:tc>
              <w:tc>
                <w:tcPr>
                  <w:shd w:fill="ffffff" w:val="clear"/>
                  <w:vAlign w:val="center"/>
                </w:tcPr>
                <w:p w:rsidR="00000000" w:rsidDel="00000000" w:rsidP="00000000" w:rsidRDefault="00000000" w:rsidRPr="00000000" w14:paraId="0000010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Copetran</w:t>
                  </w:r>
                </w:p>
              </w:tc>
            </w:tr>
            <w:tr>
              <w:trPr>
                <w:cantSplit w:val="0"/>
                <w:tblHeader w:val="0"/>
              </w:trPr>
              <w:tc>
                <w:tcPr>
                  <w:vMerge w:val="continue"/>
                  <w:shd w:fill="ffffff" w:val="cle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0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Unitransco</w:t>
                  </w:r>
                </w:p>
              </w:tc>
            </w:tr>
          </w:tbl>
          <w:p w:rsidR="00000000" w:rsidDel="00000000" w:rsidP="00000000" w:rsidRDefault="00000000" w:rsidRPr="00000000" w14:paraId="0000010A">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B">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r w:rsidDel="00000000" w:rsidR="00000000" w:rsidRPr="00000000">
              <w:rPr>
                <w:rtl w:val="0"/>
              </w:rPr>
            </w:r>
          </w:p>
          <w:p w:rsidR="00000000" w:rsidDel="00000000" w:rsidP="00000000" w:rsidRDefault="00000000" w:rsidRPr="00000000" w14:paraId="0000010C">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10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estadía y alimentación  </w:t>
            </w:r>
          </w:p>
        </w:tc>
        <w:tc>
          <w:tcPr>
            <w:shd w:fill="ffffff" w:val="clear"/>
            <w:vAlign w:val="center"/>
          </w:tcPr>
          <w:p w:rsidR="00000000" w:rsidDel="00000000" w:rsidP="00000000" w:rsidRDefault="00000000" w:rsidRPr="00000000" w14:paraId="0000010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Estos costes corresponden a la estadía en un Hotel de categoría empresarial en la ciudad capital del Departamento, y se contemplan los cortes de almuerzo y cena, por cada día que requiera pernoctar el personal especializado para el desarrollo del taller en las temáticas propuestas en cada una de las metodologías. </w:t>
            </w:r>
          </w:p>
        </w:tc>
        <w:tc>
          <w:tcPr>
            <w:shd w:fill="ffffff" w:val="clear"/>
          </w:tcPr>
          <w:p w:rsidR="00000000" w:rsidDel="00000000" w:rsidP="00000000" w:rsidRDefault="00000000" w:rsidRPr="00000000" w14:paraId="0000010F">
            <w:pPr>
              <w:jc w:val="both"/>
              <w:rPr>
                <w:rFonts w:ascii="Century Gothic" w:cs="Century Gothic" w:eastAsia="Century Gothic" w:hAnsi="Century Gothic"/>
                <w:sz w:val="20"/>
                <w:szCs w:val="20"/>
              </w:rPr>
            </w:pPr>
            <w:r w:rsidDel="00000000" w:rsidR="00000000" w:rsidRPr="00000000">
              <w:rPr>
                <w:rtl w:val="0"/>
              </w:rPr>
            </w:r>
          </w:p>
          <w:tbl>
            <w:tblPr>
              <w:tblStyle w:val="Table14"/>
              <w:tblW w:w="31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5"/>
              <w:gridCol w:w="1290"/>
              <w:tblGridChange w:id="0">
                <w:tblGrid>
                  <w:gridCol w:w="1845"/>
                  <w:gridCol w:w="1290"/>
                </w:tblGrid>
              </w:tblGridChange>
            </w:tblGrid>
            <w:tr>
              <w:trPr>
                <w:cantSplit w:val="0"/>
                <w:tblHeader w:val="0"/>
              </w:trPr>
              <w:tc>
                <w:tcPr>
                  <w:shd w:fill="ffffff" w:val="clear"/>
                </w:tcPr>
                <w:p w:rsidR="00000000" w:rsidDel="00000000" w:rsidP="00000000" w:rsidRDefault="00000000" w:rsidRPr="00000000" w14:paraId="0000011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Hoteles</w:t>
                  </w:r>
                </w:p>
              </w:tc>
              <w:tc>
                <w:tcPr>
                  <w:shd w:fill="ffffff" w:val="clear"/>
                  <w:vAlign w:val="center"/>
                </w:tcPr>
                <w:p w:rsidR="00000000" w:rsidDel="00000000" w:rsidP="00000000" w:rsidRDefault="00000000" w:rsidRPr="00000000" w14:paraId="0000011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2">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11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$129.000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4">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11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$145.000</w:t>
                  </w:r>
                </w:p>
              </w:tc>
            </w:tr>
            <w:tr>
              <w:trPr>
                <w:cantSplit w:val="0"/>
                <w:tblHeader w:val="0"/>
              </w:trPr>
              <w:tc>
                <w:tcPr>
                  <w:shd w:fill="ffffff" w:val="clear"/>
                  <w:vAlign w:val="center"/>
                </w:tcPr>
                <w:p w:rsidR="00000000" w:rsidDel="00000000" w:rsidP="00000000" w:rsidRDefault="00000000" w:rsidRPr="00000000" w14:paraId="0000011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Proveedor 3</w:t>
                  </w:r>
                  <w:r w:rsidDel="00000000" w:rsidR="00000000" w:rsidRPr="00000000">
                    <w:rPr>
                      <w:rtl w:val="0"/>
                    </w:rPr>
                  </w:r>
                </w:p>
              </w:tc>
              <w:tc>
                <w:tcPr>
                  <w:shd w:fill="ffffff" w:val="clear"/>
                  <w:vAlign w:val="center"/>
                </w:tcPr>
                <w:p w:rsidR="00000000" w:rsidDel="00000000" w:rsidP="00000000" w:rsidRDefault="00000000" w:rsidRPr="00000000" w14:paraId="0000011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$110.000</w:t>
                  </w:r>
                </w:p>
              </w:tc>
            </w:tr>
          </w:tbl>
          <w:p w:rsidR="00000000" w:rsidDel="00000000" w:rsidP="00000000" w:rsidRDefault="00000000" w:rsidRPr="00000000" w14:paraId="00000118">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19">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promedio,los hoteles validados incluyen desayuno. </w:t>
            </w:r>
          </w:p>
          <w:p w:rsidR="00000000" w:rsidDel="00000000" w:rsidP="00000000" w:rsidRDefault="00000000" w:rsidRPr="00000000" w14:paraId="0000011A">
            <w:pPr>
              <w:jc w:val="both"/>
              <w:rPr>
                <w:rFonts w:ascii="Century Gothic" w:cs="Century Gothic" w:eastAsia="Century Gothic" w:hAnsi="Century Gothic"/>
                <w:sz w:val="20"/>
                <w:szCs w:val="20"/>
              </w:rPr>
            </w:pPr>
            <w:r w:rsidDel="00000000" w:rsidR="00000000" w:rsidRPr="00000000">
              <w:rPr>
                <w:rtl w:val="0"/>
              </w:rPr>
            </w:r>
          </w:p>
          <w:tbl>
            <w:tblPr>
              <w:tblStyle w:val="Table15"/>
              <w:tblW w:w="31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3"/>
              <w:gridCol w:w="1145"/>
              <w:tblGridChange w:id="0">
                <w:tblGrid>
                  <w:gridCol w:w="2053"/>
                  <w:gridCol w:w="1145"/>
                </w:tblGrid>
              </w:tblGridChange>
            </w:tblGrid>
            <w:tr>
              <w:trPr>
                <w:cantSplit w:val="0"/>
                <w:trHeight w:val="496" w:hRule="atLeast"/>
                <w:tblHeader w:val="0"/>
              </w:trPr>
              <w:tc>
                <w:tcPr>
                  <w:shd w:fill="ffffff" w:val="clear"/>
                </w:tcPr>
                <w:p w:rsidR="00000000" w:rsidDel="00000000" w:rsidP="00000000" w:rsidRDefault="00000000" w:rsidRPr="00000000" w14:paraId="0000011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Ítem</w:t>
                  </w:r>
                </w:p>
              </w:tc>
              <w:tc>
                <w:tcPr>
                  <w:shd w:fill="ffffff" w:val="clear"/>
                  <w:vAlign w:val="center"/>
                </w:tcPr>
                <w:p w:rsidR="00000000" w:rsidDel="00000000" w:rsidP="00000000" w:rsidRDefault="00000000" w:rsidRPr="00000000" w14:paraId="0000011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 región</w:t>
                  </w:r>
                </w:p>
              </w:tc>
            </w:tr>
            <w:tr>
              <w:trPr>
                <w:cantSplit w:val="0"/>
                <w:trHeight w:val="245" w:hRule="atLeast"/>
                <w:tblHeader w:val="0"/>
              </w:trPr>
              <w:tc>
                <w:tcPr>
                  <w:vMerge w:val="restart"/>
                  <w:shd w:fill="ffffff" w:val="clear"/>
                  <w:vAlign w:val="center"/>
                </w:tcPr>
                <w:p w:rsidR="00000000" w:rsidDel="00000000" w:rsidP="00000000" w:rsidRDefault="00000000" w:rsidRPr="00000000" w14:paraId="0000011D">
                  <w:pPr>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1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Almuerzo</w:t>
                  </w:r>
                </w:p>
              </w:tc>
              <w:tc>
                <w:tcPr>
                  <w:vMerge w:val="restart"/>
                  <w:shd w:fill="ffffff" w:val="clear"/>
                  <w:vAlign w:val="center"/>
                </w:tcPr>
                <w:p w:rsidR="00000000" w:rsidDel="00000000" w:rsidP="00000000" w:rsidRDefault="00000000" w:rsidRPr="00000000" w14:paraId="0000011F">
                  <w:pPr>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2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$35.000</w:t>
                  </w:r>
                </w:p>
              </w:tc>
            </w:tr>
            <w:tr>
              <w:trPr>
                <w:cantSplit w:val="0"/>
                <w:trHeight w:val="282" w:hRule="atLeast"/>
                <w:tblHeader w:val="0"/>
              </w:trPr>
              <w:tc>
                <w:tcPr>
                  <w:vMerge w:val="continue"/>
                  <w:shd w:fill="ffffff" w:val="cle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12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Cena</w:t>
                  </w:r>
                </w:p>
              </w:tc>
              <w:tc>
                <w:tcPr>
                  <w:shd w:fill="ffffff" w:val="clear"/>
                  <w:vAlign w:val="center"/>
                </w:tcPr>
                <w:p w:rsidR="00000000" w:rsidDel="00000000" w:rsidP="00000000" w:rsidRDefault="00000000" w:rsidRPr="00000000" w14:paraId="0000012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$30.0000</w:t>
                  </w:r>
                </w:p>
              </w:tc>
            </w:tr>
          </w:tbl>
          <w:p w:rsidR="00000000" w:rsidDel="00000000" w:rsidP="00000000" w:rsidRDefault="00000000" w:rsidRPr="00000000" w14:paraId="00000125">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26">
            <w:pPr>
              <w:jc w:val="both"/>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r w:rsidDel="00000000" w:rsidR="00000000" w:rsidRPr="00000000">
              <w:rPr>
                <w:rtl w:val="0"/>
              </w:rPr>
            </w:r>
          </w:p>
        </w:tc>
      </w:tr>
    </w:tbl>
    <w:p w:rsidR="00000000" w:rsidDel="00000000" w:rsidP="00000000" w:rsidRDefault="00000000" w:rsidRPr="00000000" w14:paraId="0000012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28">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Materiales, insumos y documentación</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Hace referencia a la adquisición de insumos, bienes fungibles y demás elementos necesarios para el desarrollo de algunas actividades previstas. Deben presentarse a manera de listado agrupado por categorías sobre las cuales debe hacerse una justificación de su necesidad y cantidad.</w:t>
      </w:r>
    </w:p>
    <w:p w:rsidR="00000000" w:rsidDel="00000000" w:rsidP="00000000" w:rsidRDefault="00000000" w:rsidRPr="00000000" w14:paraId="0000012B">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términos presupuestales del proyecto se requería la impresión de diferentes paquetes de  y material impreso para las diferentes hojas de ruta. </w:t>
      </w:r>
    </w:p>
    <w:p w:rsidR="00000000" w:rsidDel="00000000" w:rsidP="00000000" w:rsidRDefault="00000000" w:rsidRPr="00000000" w14:paraId="0000012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costea según el valor de impresiones por hoja para determinar los costos de cada paquete de trabajo.</w:t>
      </w:r>
    </w:p>
    <w:p w:rsidR="00000000" w:rsidDel="00000000" w:rsidP="00000000" w:rsidRDefault="00000000" w:rsidRPr="00000000" w14:paraId="0000012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16"/>
        <w:tblW w:w="5500.0" w:type="dxa"/>
        <w:jc w:val="left"/>
        <w:tblInd w:w="21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71"/>
        <w:gridCol w:w="2729"/>
        <w:tblGridChange w:id="0">
          <w:tblGrid>
            <w:gridCol w:w="2771"/>
            <w:gridCol w:w="2729"/>
          </w:tblGrid>
        </w:tblGridChange>
      </w:tblGrid>
      <w:tr>
        <w:trPr>
          <w:cantSplit w:val="0"/>
          <w:tblHeader w:val="0"/>
        </w:trPr>
        <w:tc>
          <w:tcPr>
            <w:shd w:fill="ffffff" w:val="clear"/>
          </w:tcPr>
          <w:p w:rsidR="00000000" w:rsidDel="00000000" w:rsidP="00000000" w:rsidRDefault="00000000" w:rsidRPr="00000000" w14:paraId="0000013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PAPELERÍAS/ IMPRENTA</w:t>
            </w:r>
          </w:p>
        </w:tc>
        <w:tc>
          <w:tcPr>
            <w:shd w:fill="ffffff" w:val="clear"/>
          </w:tcPr>
          <w:p w:rsidR="00000000" w:rsidDel="00000000" w:rsidP="00000000" w:rsidRDefault="00000000" w:rsidRPr="00000000" w14:paraId="0000013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VALOR UNITARIO HOJA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2">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tcPr>
          <w:p w:rsidR="00000000" w:rsidDel="00000000" w:rsidP="00000000" w:rsidRDefault="00000000" w:rsidRPr="00000000" w14:paraId="00000133">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$550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4">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tcPr>
          <w:p w:rsidR="00000000" w:rsidDel="00000000" w:rsidP="00000000" w:rsidRDefault="00000000" w:rsidRPr="00000000" w14:paraId="00000135">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$450</w:t>
            </w:r>
          </w:p>
        </w:tc>
      </w:tr>
      <w:tr>
        <w:trPr>
          <w:cantSplit w:val="0"/>
          <w:tblHeader w:val="0"/>
        </w:trPr>
        <w:tc>
          <w:tcPr>
            <w:shd w:fill="ffffff" w:val="clear"/>
            <w:vAlign w:val="center"/>
          </w:tcPr>
          <w:p w:rsidR="00000000" w:rsidDel="00000000" w:rsidP="00000000" w:rsidRDefault="00000000" w:rsidRPr="00000000" w14:paraId="0000013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Proveedor 3</w:t>
            </w:r>
            <w:r w:rsidDel="00000000" w:rsidR="00000000" w:rsidRPr="00000000">
              <w:rPr>
                <w:rtl w:val="0"/>
              </w:rPr>
            </w:r>
          </w:p>
        </w:tc>
        <w:tc>
          <w:tcPr>
            <w:shd w:fill="ffffff" w:val="clear"/>
          </w:tcPr>
          <w:p w:rsidR="00000000" w:rsidDel="00000000" w:rsidP="00000000" w:rsidRDefault="00000000" w:rsidRPr="00000000" w14:paraId="00000137">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$350</w:t>
            </w:r>
          </w:p>
        </w:tc>
      </w:tr>
    </w:tbl>
    <w:p w:rsidR="00000000" w:rsidDel="00000000" w:rsidP="00000000" w:rsidRDefault="00000000" w:rsidRPr="00000000" w14:paraId="0000013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2"/>
          <w:szCs w:val="22"/>
          <w:rtl w:val="0"/>
        </w:rPr>
        <w:t xml:space="preserve">: No olvide que se deberá soportar a través de mínimo (3) cotizaciones los valores del mercado y el criterio de selección. </w:t>
      </w:r>
    </w:p>
    <w:p w:rsidR="00000000" w:rsidDel="00000000" w:rsidP="00000000" w:rsidRDefault="00000000" w:rsidRPr="00000000" w14:paraId="0000013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B">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Protección de conocimiento y divulgación</w:t>
      </w: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relacionados con el proceso de planeación, y ejecución de los despliegues de las diferentes convocatorias, así como de los eventos que socialicen y divulguen los resultados del proyecto de Inversión. </w:t>
      </w:r>
    </w:p>
    <w:p w:rsidR="00000000" w:rsidDel="00000000" w:rsidP="00000000" w:rsidRDefault="00000000" w:rsidRPr="00000000" w14:paraId="0000013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realiza el ejercicio con base a un despliegue de convocatoria, conformado por Telemarketing a bases de datos proporcionados por las Cámaras de Comercio del Departamento, Correos masivos de invitación y notificación, así como envíos de mensajes de texto. </w:t>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1">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llamadas telefónicas (Telemarketing valor minuto)</w:t>
      </w:r>
    </w:p>
    <w:p w:rsidR="00000000" w:rsidDel="00000000" w:rsidP="00000000" w:rsidRDefault="00000000" w:rsidRPr="00000000" w14:paraId="00000142">
      <w:pPr>
        <w:jc w:val="both"/>
        <w:rPr>
          <w:rFonts w:ascii="Century Gothic" w:cs="Century Gothic" w:eastAsia="Century Gothic" w:hAnsi="Century Gothic"/>
          <w:sz w:val="20"/>
          <w:szCs w:val="20"/>
        </w:rPr>
      </w:pPr>
      <w:r w:rsidDel="00000000" w:rsidR="00000000" w:rsidRPr="00000000">
        <w:rPr>
          <w:rtl w:val="0"/>
        </w:rPr>
      </w:r>
    </w:p>
    <w:tbl>
      <w:tblPr>
        <w:tblStyle w:val="Table17"/>
        <w:tblW w:w="4083.0" w:type="dxa"/>
        <w:jc w:val="left"/>
        <w:tblInd w:w="8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1998"/>
        <w:tblGridChange w:id="0">
          <w:tblGrid>
            <w:gridCol w:w="2085"/>
            <w:gridCol w:w="1998"/>
          </w:tblGrid>
        </w:tblGridChange>
      </w:tblGrid>
      <w:tr>
        <w:trPr>
          <w:cantSplit w:val="0"/>
          <w:tblHeader w:val="0"/>
        </w:trPr>
        <w:tc>
          <w:tcPr>
            <w:shd w:fill="ffffff" w:val="clear"/>
          </w:tcPr>
          <w:p w:rsidR="00000000" w:rsidDel="00000000" w:rsidP="00000000" w:rsidRDefault="00000000" w:rsidRPr="00000000" w14:paraId="0000014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shd w:fill="ffffff" w:val="clear"/>
            <w:vAlign w:val="center"/>
          </w:tcPr>
          <w:p w:rsidR="00000000" w:rsidDel="00000000" w:rsidP="00000000" w:rsidRDefault="00000000" w:rsidRPr="00000000" w14:paraId="0000014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14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14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$2.200</w:t>
            </w:r>
          </w:p>
        </w:tc>
      </w:tr>
    </w:tbl>
    <w:p w:rsidR="00000000" w:rsidDel="00000000" w:rsidP="00000000" w:rsidRDefault="00000000" w:rsidRPr="00000000" w14:paraId="00000149">
      <w:pPr>
        <w:numPr>
          <w:ilvl w:val="0"/>
          <w:numId w:val="6"/>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Servicios de perifoneo por hora.</w:t>
      </w:r>
    </w:p>
    <w:p w:rsidR="00000000" w:rsidDel="00000000" w:rsidP="00000000" w:rsidRDefault="00000000" w:rsidRPr="00000000" w14:paraId="0000014A">
      <w:pPr>
        <w:jc w:val="both"/>
        <w:rPr>
          <w:rFonts w:ascii="Century Gothic" w:cs="Century Gothic" w:eastAsia="Century Gothic" w:hAnsi="Century Gothic"/>
          <w:sz w:val="20"/>
          <w:szCs w:val="20"/>
        </w:rPr>
      </w:pPr>
      <w:r w:rsidDel="00000000" w:rsidR="00000000" w:rsidRPr="00000000">
        <w:rPr>
          <w:rtl w:val="0"/>
        </w:rPr>
      </w:r>
    </w:p>
    <w:tbl>
      <w:tblPr>
        <w:tblStyle w:val="Table18"/>
        <w:tblW w:w="4605.0" w:type="dxa"/>
        <w:jc w:val="left"/>
        <w:tblInd w:w="8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2520"/>
        <w:tblGridChange w:id="0">
          <w:tblGrid>
            <w:gridCol w:w="2085"/>
            <w:gridCol w:w="2520"/>
          </w:tblGrid>
        </w:tblGridChange>
      </w:tblGrid>
      <w:tr>
        <w:trPr>
          <w:cantSplit w:val="0"/>
          <w:tblHeader w:val="0"/>
        </w:trPr>
        <w:tc>
          <w:tcPr>
            <w:shd w:fill="ffffff" w:val="clear"/>
          </w:tcPr>
          <w:p w:rsidR="00000000" w:rsidDel="00000000" w:rsidP="00000000" w:rsidRDefault="00000000" w:rsidRPr="00000000" w14:paraId="0000014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shd w:fill="ffffff" w:val="clear"/>
            <w:vAlign w:val="center"/>
          </w:tcPr>
          <w:p w:rsidR="00000000" w:rsidDel="00000000" w:rsidP="00000000" w:rsidRDefault="00000000" w:rsidRPr="00000000" w14:paraId="0000014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14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15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$75.000</w:t>
            </w:r>
          </w:p>
        </w:tc>
      </w:tr>
      <w:tr>
        <w:trPr>
          <w:cantSplit w:val="0"/>
          <w:tblHeader w:val="0"/>
        </w:trPr>
        <w:tc>
          <w:tcPr>
            <w:shd w:fill="ffffff" w:val="clear"/>
            <w:vAlign w:val="center"/>
          </w:tcPr>
          <w:p w:rsidR="00000000" w:rsidDel="00000000" w:rsidP="00000000" w:rsidRDefault="00000000" w:rsidRPr="00000000" w14:paraId="0000015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Proveedor 3</w:t>
            </w:r>
            <w:r w:rsidDel="00000000" w:rsidR="00000000" w:rsidRPr="00000000">
              <w:rPr>
                <w:rtl w:val="0"/>
              </w:rPr>
            </w:r>
          </w:p>
        </w:tc>
        <w:tc>
          <w:tcPr>
            <w:shd w:fill="ffffff" w:val="clear"/>
            <w:vAlign w:val="center"/>
          </w:tcPr>
          <w:p w:rsidR="00000000" w:rsidDel="00000000" w:rsidP="00000000" w:rsidRDefault="00000000" w:rsidRPr="00000000" w14:paraId="0000015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$64.550</w:t>
            </w:r>
          </w:p>
        </w:tc>
      </w:tr>
    </w:tbl>
    <w:p w:rsidR="00000000" w:rsidDel="00000000" w:rsidP="00000000" w:rsidRDefault="00000000" w:rsidRPr="00000000" w14:paraId="00000153">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54">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Correos electrónicos masivos</w:t>
      </w:r>
    </w:p>
    <w:p w:rsidR="00000000" w:rsidDel="00000000" w:rsidP="00000000" w:rsidRDefault="00000000" w:rsidRPr="00000000" w14:paraId="00000155">
      <w:pPr>
        <w:jc w:val="both"/>
        <w:rPr>
          <w:rFonts w:ascii="Century Gothic" w:cs="Century Gothic" w:eastAsia="Century Gothic" w:hAnsi="Century Gothic"/>
          <w:sz w:val="20"/>
          <w:szCs w:val="20"/>
        </w:rPr>
      </w:pPr>
      <w:r w:rsidDel="00000000" w:rsidR="00000000" w:rsidRPr="00000000">
        <w:rPr>
          <w:rtl w:val="0"/>
        </w:rPr>
      </w:r>
    </w:p>
    <w:tbl>
      <w:tblPr>
        <w:tblStyle w:val="Table19"/>
        <w:tblW w:w="4725.0" w:type="dxa"/>
        <w:jc w:val="left"/>
        <w:tblInd w:w="7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0"/>
        <w:gridCol w:w="2505"/>
        <w:tblGridChange w:id="0">
          <w:tblGrid>
            <w:gridCol w:w="2220"/>
            <w:gridCol w:w="2505"/>
          </w:tblGrid>
        </w:tblGridChange>
      </w:tblGrid>
      <w:tr>
        <w:trPr>
          <w:cantSplit w:val="0"/>
          <w:tblHeader w:val="0"/>
        </w:trPr>
        <w:tc>
          <w:tcPr>
            <w:shd w:fill="ffffff" w:val="clear"/>
          </w:tcPr>
          <w:p w:rsidR="00000000" w:rsidDel="00000000" w:rsidP="00000000" w:rsidRDefault="00000000" w:rsidRPr="00000000" w14:paraId="0000015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shd w:fill="ffffff" w:val="clear"/>
            <w:vAlign w:val="center"/>
          </w:tcPr>
          <w:p w:rsidR="00000000" w:rsidDel="00000000" w:rsidP="00000000" w:rsidRDefault="00000000" w:rsidRPr="00000000" w14:paraId="0000015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15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15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w:t>
            </w:r>
          </w:p>
        </w:tc>
      </w:tr>
    </w:tbl>
    <w:p w:rsidR="00000000" w:rsidDel="00000000" w:rsidP="00000000" w:rsidRDefault="00000000" w:rsidRPr="00000000" w14:paraId="0000015C">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D">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Mensajes masivos de Whatsapp-500 caracteres (Valor por MSN)</w:t>
      </w:r>
    </w:p>
    <w:p w:rsidR="00000000" w:rsidDel="00000000" w:rsidP="00000000" w:rsidRDefault="00000000" w:rsidRPr="00000000" w14:paraId="0000015E">
      <w:pPr>
        <w:jc w:val="both"/>
        <w:rPr>
          <w:rFonts w:ascii="Century Gothic" w:cs="Century Gothic" w:eastAsia="Century Gothic" w:hAnsi="Century Gothic"/>
          <w:sz w:val="20"/>
          <w:szCs w:val="20"/>
        </w:rPr>
      </w:pPr>
      <w:r w:rsidDel="00000000" w:rsidR="00000000" w:rsidRPr="00000000">
        <w:rPr>
          <w:rtl w:val="0"/>
        </w:rPr>
      </w:r>
    </w:p>
    <w:tbl>
      <w:tblPr>
        <w:tblStyle w:val="Table20"/>
        <w:tblW w:w="4815.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90"/>
        <w:gridCol w:w="2625"/>
        <w:tblGridChange w:id="0">
          <w:tblGrid>
            <w:gridCol w:w="2190"/>
            <w:gridCol w:w="2625"/>
          </w:tblGrid>
        </w:tblGridChange>
      </w:tblGrid>
      <w:tr>
        <w:trPr>
          <w:cantSplit w:val="0"/>
          <w:tblHeader w:val="0"/>
        </w:trPr>
        <w:tc>
          <w:tcPr>
            <w:shd w:fill="ffffff" w:val="clear"/>
          </w:tcPr>
          <w:p w:rsidR="00000000" w:rsidDel="00000000" w:rsidP="00000000" w:rsidRDefault="00000000" w:rsidRPr="00000000" w14:paraId="0000015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shd w:fill="ffffff" w:val="clear"/>
            <w:vAlign w:val="center"/>
          </w:tcPr>
          <w:p w:rsidR="00000000" w:rsidDel="00000000" w:rsidP="00000000" w:rsidRDefault="00000000" w:rsidRPr="00000000" w14:paraId="0000016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16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16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w:t>
            </w:r>
          </w:p>
        </w:tc>
      </w:tr>
    </w:tbl>
    <w:p w:rsidR="00000000" w:rsidDel="00000000" w:rsidP="00000000" w:rsidRDefault="00000000" w:rsidRPr="00000000" w14:paraId="00000165">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2"/>
          <w:szCs w:val="22"/>
          <w:rtl w:val="0"/>
        </w:rPr>
        <w:t xml:space="preserve">: No olvide que se deberá soportar a través de mínimo (3) cotizaciones los valores del mercado y el criterio de selección. </w:t>
      </w:r>
    </w:p>
    <w:p w:rsidR="00000000" w:rsidDel="00000000" w:rsidP="00000000" w:rsidRDefault="00000000" w:rsidRPr="00000000" w14:paraId="00000167">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8">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Gastos de viaje</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de transporte (pasajes nacionales) y viáticos relacionados con las actividades propuestas en los diferentes componentes técnicos y de formación del proyecto (capacitaciones, estancias cortas, presentación de ponencias en eventos especializados, etc.) y que son estrictamente necesarios para la ejecución exitosa del proyecto y la generación de productos y resultados. </w:t>
      </w:r>
    </w:p>
    <w:p w:rsidR="00000000" w:rsidDel="00000000" w:rsidP="00000000" w:rsidRDefault="00000000" w:rsidRPr="00000000" w14:paraId="0000016B">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costean los costos de tiquetes aéreos desde Bogotá a la Capital del Departamento, así como las movilidades al interior de las diferentes subregiones desde la ciudad de Santa Marta. </w:t>
      </w:r>
    </w:p>
    <w:p w:rsidR="00000000" w:rsidDel="00000000" w:rsidP="00000000" w:rsidRDefault="00000000" w:rsidRPr="00000000" w14:paraId="0000016D">
      <w:pPr>
        <w:jc w:val="both"/>
        <w:rPr>
          <w:rFonts w:ascii="Century Gothic" w:cs="Century Gothic" w:eastAsia="Century Gothic" w:hAnsi="Century Gothic"/>
          <w:sz w:val="20"/>
          <w:szCs w:val="20"/>
        </w:rPr>
      </w:pPr>
      <w:r w:rsidDel="00000000" w:rsidR="00000000" w:rsidRPr="00000000">
        <w:rPr>
          <w:rtl w:val="0"/>
        </w:rPr>
      </w:r>
    </w:p>
    <w:tbl>
      <w:tblPr>
        <w:tblStyle w:val="Table21"/>
        <w:tblW w:w="54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2865"/>
        <w:tblGridChange w:id="0">
          <w:tblGrid>
            <w:gridCol w:w="2610"/>
            <w:gridCol w:w="2865"/>
          </w:tblGrid>
        </w:tblGridChange>
      </w:tblGrid>
      <w:tr>
        <w:trPr>
          <w:cantSplit w:val="0"/>
          <w:tblHeader w:val="0"/>
        </w:trPr>
        <w:tc>
          <w:tcPr>
            <w:shd w:fill="ffffff" w:val="clear"/>
          </w:tcPr>
          <w:p w:rsidR="00000000" w:rsidDel="00000000" w:rsidP="00000000" w:rsidRDefault="00000000" w:rsidRPr="00000000" w14:paraId="0000016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 </w:t>
            </w:r>
          </w:p>
        </w:tc>
        <w:tc>
          <w:tcPr>
            <w:shd w:fill="ffffff" w:val="clear"/>
            <w:vAlign w:val="center"/>
          </w:tcPr>
          <w:p w:rsidR="00000000" w:rsidDel="00000000" w:rsidP="00000000" w:rsidRDefault="00000000" w:rsidRPr="00000000" w14:paraId="0000016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TRAYECTO*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171">
            <w:pPr>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$1.330.000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2">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173">
            <w:pPr>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$1.230.000</w:t>
            </w:r>
          </w:p>
        </w:tc>
      </w:tr>
      <w:tr>
        <w:trPr>
          <w:cantSplit w:val="0"/>
          <w:tblHeader w:val="0"/>
        </w:trPr>
        <w:tc>
          <w:tcPr>
            <w:shd w:fill="ffffff" w:val="clear"/>
            <w:vAlign w:val="center"/>
          </w:tcPr>
          <w:p w:rsidR="00000000" w:rsidDel="00000000" w:rsidP="00000000" w:rsidRDefault="00000000" w:rsidRPr="00000000" w14:paraId="00000174">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2"/>
                <w:szCs w:val="22"/>
                <w:rtl w:val="0"/>
              </w:rPr>
              <w:t xml:space="preserve">Proveedor 3</w:t>
            </w:r>
            <w:r w:rsidDel="00000000" w:rsidR="00000000" w:rsidRPr="00000000">
              <w:rPr>
                <w:rtl w:val="0"/>
              </w:rPr>
            </w:r>
          </w:p>
        </w:tc>
        <w:tc>
          <w:tcPr>
            <w:shd w:fill="ffffff" w:val="clear"/>
            <w:vAlign w:val="center"/>
          </w:tcPr>
          <w:p w:rsidR="00000000" w:rsidDel="00000000" w:rsidP="00000000" w:rsidRDefault="00000000" w:rsidRPr="00000000" w14:paraId="00000175">
            <w:pPr>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$1.100.000</w:t>
            </w:r>
          </w:p>
        </w:tc>
      </w:tr>
    </w:tbl>
    <w:p w:rsidR="00000000" w:rsidDel="00000000" w:rsidP="00000000" w:rsidRDefault="00000000" w:rsidRPr="00000000" w14:paraId="00000176">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77">
      <w:pPr>
        <w:jc w:val="both"/>
        <w:rPr>
          <w:rFonts w:ascii="Century Gothic" w:cs="Century Gothic" w:eastAsia="Century Gothic" w:hAnsi="Century Gothic"/>
          <w:sz w:val="20"/>
          <w:szCs w:val="20"/>
        </w:rPr>
      </w:pPr>
      <w:r w:rsidDel="00000000" w:rsidR="00000000" w:rsidRPr="00000000">
        <w:rPr>
          <w:rtl w:val="0"/>
        </w:rPr>
      </w:r>
    </w:p>
    <w:tbl>
      <w:tblPr>
        <w:tblStyle w:val="Table22"/>
        <w:tblW w:w="5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5"/>
        <w:gridCol w:w="2895"/>
        <w:tblGridChange w:id="0">
          <w:tblGrid>
            <w:gridCol w:w="2595"/>
            <w:gridCol w:w="2895"/>
          </w:tblGrid>
        </w:tblGridChange>
      </w:tblGrid>
      <w:tr>
        <w:trPr>
          <w:cantSplit w:val="0"/>
          <w:tblHeader w:val="0"/>
        </w:trPr>
        <w:tc>
          <w:tcPr>
            <w:shd w:fill="ffffff" w:val="clear"/>
          </w:tcPr>
          <w:p w:rsidR="00000000" w:rsidDel="00000000" w:rsidP="00000000" w:rsidRDefault="00000000" w:rsidRPr="00000000" w14:paraId="0000017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shd w:fill="ffffff" w:val="clear"/>
            <w:vAlign w:val="center"/>
          </w:tcPr>
          <w:p w:rsidR="00000000" w:rsidDel="00000000" w:rsidP="00000000" w:rsidRDefault="00000000" w:rsidRPr="00000000" w14:paraId="0000017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w:t>
            </w:r>
          </w:p>
        </w:tc>
      </w:tr>
      <w:tr>
        <w:trPr>
          <w:cantSplit w:val="0"/>
          <w:tblHeader w:val="0"/>
        </w:trPr>
        <w:tc>
          <w:tcPr>
            <w:shd w:fill="ffffff" w:val="clear"/>
            <w:vAlign w:val="center"/>
          </w:tcPr>
          <w:p w:rsidR="00000000" w:rsidDel="00000000" w:rsidP="00000000" w:rsidRDefault="00000000" w:rsidRPr="00000000" w14:paraId="0000017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Centro Magdalenense</w:t>
            </w:r>
          </w:p>
        </w:tc>
        <w:tc>
          <w:tcPr>
            <w:shd w:fill="ffffff" w:val="clear"/>
            <w:vAlign w:val="center"/>
          </w:tcPr>
          <w:p w:rsidR="00000000" w:rsidDel="00000000" w:rsidP="00000000" w:rsidRDefault="00000000" w:rsidRPr="00000000" w14:paraId="0000017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$47.500</w:t>
            </w:r>
          </w:p>
        </w:tc>
      </w:tr>
      <w:tr>
        <w:trPr>
          <w:cantSplit w:val="0"/>
          <w:tblHeader w:val="0"/>
        </w:trPr>
        <w:tc>
          <w:tcPr>
            <w:shd w:fill="ffffff" w:val="clear"/>
            <w:vAlign w:val="center"/>
          </w:tcPr>
          <w:p w:rsidR="00000000" w:rsidDel="00000000" w:rsidP="00000000" w:rsidRDefault="00000000" w:rsidRPr="00000000" w14:paraId="0000017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Subregión del Río</w:t>
            </w:r>
          </w:p>
        </w:tc>
        <w:tc>
          <w:tcPr>
            <w:shd w:fill="ffffff" w:val="clear"/>
            <w:vAlign w:val="center"/>
          </w:tcPr>
          <w:p w:rsidR="00000000" w:rsidDel="00000000" w:rsidP="00000000" w:rsidRDefault="00000000" w:rsidRPr="00000000" w14:paraId="0000017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$25.000</w:t>
            </w:r>
          </w:p>
        </w:tc>
      </w:tr>
      <w:tr>
        <w:trPr>
          <w:cantSplit w:val="0"/>
          <w:tblHeader w:val="0"/>
        </w:trPr>
        <w:tc>
          <w:tcPr>
            <w:shd w:fill="ffffff" w:val="clear"/>
            <w:vAlign w:val="center"/>
          </w:tcPr>
          <w:p w:rsidR="00000000" w:rsidDel="00000000" w:rsidP="00000000" w:rsidRDefault="00000000" w:rsidRPr="00000000" w14:paraId="0000017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Subregión del Norte</w:t>
            </w:r>
          </w:p>
        </w:tc>
        <w:tc>
          <w:tcPr>
            <w:shd w:fill="ffffff" w:val="clear"/>
            <w:vAlign w:val="center"/>
          </w:tcPr>
          <w:p w:rsidR="00000000" w:rsidDel="00000000" w:rsidP="00000000" w:rsidRDefault="00000000" w:rsidRPr="00000000" w14:paraId="0000017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$23.000</w:t>
            </w:r>
          </w:p>
        </w:tc>
      </w:tr>
      <w:tr>
        <w:trPr>
          <w:cantSplit w:val="0"/>
          <w:tblHeader w:val="0"/>
        </w:trPr>
        <w:tc>
          <w:tcPr>
            <w:shd w:fill="ffffff" w:val="clear"/>
            <w:vAlign w:val="center"/>
          </w:tcPr>
          <w:p w:rsidR="00000000" w:rsidDel="00000000" w:rsidP="00000000" w:rsidRDefault="00000000" w:rsidRPr="00000000" w14:paraId="0000018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Subregión del sur</w:t>
            </w:r>
          </w:p>
        </w:tc>
        <w:tc>
          <w:tcPr>
            <w:shd w:fill="ffffff" w:val="clear"/>
            <w:vAlign w:val="center"/>
          </w:tcPr>
          <w:p w:rsidR="00000000" w:rsidDel="00000000" w:rsidP="00000000" w:rsidRDefault="00000000" w:rsidRPr="00000000" w14:paraId="0000018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$60.000</w:t>
            </w:r>
          </w:p>
        </w:tc>
      </w:tr>
    </w:tbl>
    <w:p w:rsidR="00000000" w:rsidDel="00000000" w:rsidP="00000000" w:rsidRDefault="00000000" w:rsidRPr="00000000" w14:paraId="00000182">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8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Principales empresas que desde el terminal de Santa Marta se movilizan a los 29 municipios que conforman el departamento del Magdalena. </w:t>
      </w:r>
    </w:p>
    <w:p w:rsidR="00000000" w:rsidDel="00000000" w:rsidP="00000000" w:rsidRDefault="00000000" w:rsidRPr="00000000" w14:paraId="00000184">
      <w:pPr>
        <w:jc w:val="both"/>
        <w:rPr>
          <w:rFonts w:ascii="Century Gothic" w:cs="Century Gothic" w:eastAsia="Century Gothic" w:hAnsi="Century Gothic"/>
          <w:sz w:val="20"/>
          <w:szCs w:val="20"/>
        </w:rPr>
      </w:pPr>
      <w:r w:rsidDel="00000000" w:rsidR="00000000" w:rsidRPr="00000000">
        <w:rPr>
          <w:rtl w:val="0"/>
        </w:rPr>
      </w:r>
    </w:p>
    <w:tbl>
      <w:tblPr>
        <w:tblStyle w:val="Table23"/>
        <w:tblW w:w="54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2850"/>
        <w:tblGridChange w:id="0">
          <w:tblGrid>
            <w:gridCol w:w="2610"/>
            <w:gridCol w:w="2850"/>
          </w:tblGrid>
        </w:tblGridChange>
      </w:tblGrid>
      <w:tr>
        <w:trPr>
          <w:cantSplit w:val="0"/>
          <w:tblHeader w:val="0"/>
        </w:trPr>
        <w:tc>
          <w:tcPr>
            <w:shd w:fill="ffffff" w:val="clear"/>
          </w:tcPr>
          <w:p w:rsidR="00000000" w:rsidDel="00000000" w:rsidP="00000000" w:rsidRDefault="00000000" w:rsidRPr="00000000" w14:paraId="0000018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shd w:fill="ffffff" w:val="clear"/>
            <w:vAlign w:val="center"/>
          </w:tcPr>
          <w:p w:rsidR="00000000" w:rsidDel="00000000" w:rsidP="00000000" w:rsidRDefault="00000000" w:rsidRPr="00000000" w14:paraId="0000018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r>
      <w:tr>
        <w:trPr>
          <w:cantSplit w:val="0"/>
          <w:tblHeader w:val="0"/>
        </w:trPr>
        <w:tc>
          <w:tcPr>
            <w:vMerge w:val="restart"/>
            <w:shd w:fill="ffffff" w:val="clear"/>
            <w:vAlign w:val="center"/>
          </w:tcPr>
          <w:p w:rsidR="00000000" w:rsidDel="00000000" w:rsidP="00000000" w:rsidRDefault="00000000" w:rsidRPr="00000000" w14:paraId="0000018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Centro magdalenense</w:t>
            </w:r>
          </w:p>
        </w:tc>
        <w:tc>
          <w:tcPr>
            <w:shd w:fill="ffffff" w:val="clear"/>
            <w:vAlign w:val="center"/>
          </w:tcPr>
          <w:p w:rsidR="00000000" w:rsidDel="00000000" w:rsidP="00000000" w:rsidRDefault="00000000" w:rsidRPr="00000000" w14:paraId="00000188">
            <w:pPr>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Copetran</w:t>
            </w:r>
          </w:p>
        </w:tc>
      </w:tr>
      <w:tr>
        <w:trPr>
          <w:cantSplit w:val="0"/>
          <w:tblHeader w:val="0"/>
        </w:trPr>
        <w:tc>
          <w:tcPr>
            <w:vMerge w:val="continue"/>
            <w:shd w:fill="ffffff" w:val="clea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8A">
            <w:pPr>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Expreso Brasilia</w:t>
            </w:r>
          </w:p>
        </w:tc>
      </w:tr>
      <w:tr>
        <w:trPr>
          <w:cantSplit w:val="0"/>
          <w:tblHeader w:val="0"/>
        </w:trPr>
        <w:tc>
          <w:tcPr>
            <w:vMerge w:val="restart"/>
            <w:shd w:fill="ffffff" w:val="clear"/>
            <w:vAlign w:val="center"/>
          </w:tcPr>
          <w:p w:rsidR="00000000" w:rsidDel="00000000" w:rsidP="00000000" w:rsidRDefault="00000000" w:rsidRPr="00000000" w14:paraId="0000018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Subregión del río</w:t>
            </w:r>
          </w:p>
        </w:tc>
        <w:tc>
          <w:tcPr>
            <w:shd w:fill="ffffff" w:val="clear"/>
            <w:vAlign w:val="center"/>
          </w:tcPr>
          <w:p w:rsidR="00000000" w:rsidDel="00000000" w:rsidP="00000000" w:rsidRDefault="00000000" w:rsidRPr="00000000" w14:paraId="0000018C">
            <w:pPr>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Rutranscol</w:t>
            </w:r>
          </w:p>
        </w:tc>
      </w:tr>
      <w:tr>
        <w:trPr>
          <w:cantSplit w:val="0"/>
          <w:tblHeader w:val="0"/>
        </w:trPr>
        <w:tc>
          <w:tcPr>
            <w:vMerge w:val="continue"/>
            <w:shd w:fill="ffffff" w:val="clear"/>
            <w:vAlign w:val="cente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8E">
            <w:pPr>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 samaria SAS</w:t>
            </w:r>
          </w:p>
        </w:tc>
      </w:tr>
      <w:tr>
        <w:trPr>
          <w:cantSplit w:val="0"/>
          <w:tblHeader w:val="0"/>
        </w:trPr>
        <w:tc>
          <w:tcPr>
            <w:vMerge w:val="continue"/>
            <w:shd w:fill="ffffff" w:val="cle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90">
            <w:pPr>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Senderos S.A</w:t>
            </w:r>
          </w:p>
        </w:tc>
      </w:tr>
      <w:tr>
        <w:trPr>
          <w:cantSplit w:val="0"/>
          <w:trHeight w:val="282" w:hRule="atLeast"/>
          <w:tblHeader w:val="0"/>
        </w:trPr>
        <w:tc>
          <w:tcPr>
            <w:vMerge w:val="continue"/>
            <w:shd w:fill="ffffff" w:val="clear"/>
            <w:vAlign w:val="cente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restart"/>
            <w:shd w:fill="ffffff" w:val="clear"/>
            <w:vAlign w:val="center"/>
          </w:tcPr>
          <w:p w:rsidR="00000000" w:rsidDel="00000000" w:rsidP="00000000" w:rsidRDefault="00000000" w:rsidRPr="00000000" w14:paraId="00000192">
            <w:pPr>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Estarter</w:t>
            </w:r>
          </w:p>
        </w:tc>
      </w:tr>
      <w:tr>
        <w:trPr>
          <w:cantSplit w:val="0"/>
          <w:trHeight w:val="282" w:hRule="atLeast"/>
          <w:tblHeader w:val="0"/>
        </w:trPr>
        <w:tc>
          <w:tcPr>
            <w:vMerge w:val="continue"/>
            <w:shd w:fill="ffffff" w:val="clear"/>
            <w:vAlign w:val="center"/>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vMerge w:val="restart"/>
            <w:shd w:fill="ffffff" w:val="clear"/>
            <w:vAlign w:val="center"/>
          </w:tcPr>
          <w:p w:rsidR="00000000" w:rsidDel="00000000" w:rsidP="00000000" w:rsidRDefault="00000000" w:rsidRPr="00000000" w14:paraId="0000019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Subregión Norte</w:t>
            </w:r>
          </w:p>
        </w:tc>
        <w:tc>
          <w:tcPr>
            <w:shd w:fill="ffffff" w:val="clear"/>
            <w:vAlign w:val="center"/>
          </w:tcPr>
          <w:p w:rsidR="00000000" w:rsidDel="00000000" w:rsidP="00000000" w:rsidRDefault="00000000" w:rsidRPr="00000000" w14:paraId="00000196">
            <w:pPr>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Berlinave</w:t>
            </w:r>
          </w:p>
        </w:tc>
      </w:tr>
      <w:tr>
        <w:trPr>
          <w:cantSplit w:val="0"/>
          <w:trHeight w:val="746" w:hRule="atLeast"/>
          <w:tblHeader w:val="0"/>
        </w:trPr>
        <w:tc>
          <w:tcPr>
            <w:vMerge w:val="continue"/>
            <w:shd w:fill="ffffff" w:val="cle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98">
            <w:pPr>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Cootracar</w:t>
            </w:r>
          </w:p>
        </w:tc>
      </w:tr>
      <w:tr>
        <w:trPr>
          <w:cantSplit w:val="0"/>
          <w:tblHeader w:val="0"/>
        </w:trPr>
        <w:tc>
          <w:tcPr>
            <w:vMerge w:val="restart"/>
            <w:shd w:fill="ffffff" w:val="clear"/>
            <w:vAlign w:val="center"/>
          </w:tcPr>
          <w:p w:rsidR="00000000" w:rsidDel="00000000" w:rsidP="00000000" w:rsidRDefault="00000000" w:rsidRPr="00000000" w14:paraId="0000019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Subregión del Sur</w:t>
            </w:r>
          </w:p>
        </w:tc>
        <w:tc>
          <w:tcPr>
            <w:shd w:fill="ffffff" w:val="clear"/>
            <w:vAlign w:val="center"/>
          </w:tcPr>
          <w:p w:rsidR="00000000" w:rsidDel="00000000" w:rsidP="00000000" w:rsidRDefault="00000000" w:rsidRPr="00000000" w14:paraId="0000019A">
            <w:pPr>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Copetran</w:t>
            </w:r>
          </w:p>
        </w:tc>
      </w:tr>
      <w:tr>
        <w:trPr>
          <w:cantSplit w:val="0"/>
          <w:tblHeader w:val="0"/>
        </w:trPr>
        <w:tc>
          <w:tcPr>
            <w:vMerge w:val="continue"/>
            <w:shd w:fill="ffffff" w:val="clear"/>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9C">
            <w:pPr>
              <w:jc w:val="right"/>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Unitransco</w:t>
            </w:r>
          </w:p>
        </w:tc>
      </w:tr>
    </w:tbl>
    <w:p w:rsidR="00000000" w:rsidDel="00000000" w:rsidP="00000000" w:rsidRDefault="00000000" w:rsidRPr="00000000" w14:paraId="0000019D">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Nota aclaratoria</w:t>
      </w:r>
      <w:r w:rsidDel="00000000" w:rsidR="00000000" w:rsidRPr="00000000">
        <w:rPr>
          <w:rFonts w:ascii="Century Gothic" w:cs="Century Gothic" w:eastAsia="Century Gothic" w:hAnsi="Century Gothic"/>
          <w:sz w:val="22"/>
          <w:szCs w:val="22"/>
          <w:rtl w:val="0"/>
        </w:rPr>
        <w:t xml:space="preserve">: Los costos pueden variar dependiendo de la temporada y emergencias que se puedan presentar en la vía.  </w:t>
      </w: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2"/>
          <w:szCs w:val="22"/>
          <w:rtl w:val="0"/>
        </w:rPr>
        <w:t xml:space="preserve">: No olvide que se deberá soportar a través de mínimo (3) cotizaciones los valores del mercado y el criterio de selección. </w:t>
      </w:r>
    </w:p>
    <w:p w:rsidR="00000000" w:rsidDel="00000000" w:rsidP="00000000" w:rsidRDefault="00000000" w:rsidRPr="00000000" w14:paraId="000001A1">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2">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Administrativos.</w:t>
      </w:r>
      <w:r w:rsidDel="00000000" w:rsidR="00000000" w:rsidRPr="00000000">
        <w:rPr>
          <w:rtl w:val="0"/>
        </w:rPr>
      </w:r>
    </w:p>
    <w:p w:rsidR="00000000" w:rsidDel="00000000" w:rsidP="00000000" w:rsidRDefault="00000000" w:rsidRPr="00000000" w14:paraId="000001A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de insumos requeridos para la administración del proyecto (Insumos de papelería) y equipos de cómputo para el personal que participará en el total de la ejecución del proyecto. Así mismo se contemplan los costos de servicios de Internet y de arrendamiento de los espacios y Oficina del Proyecto el cual estará disponible para brindar información al público y a los diferentes entes de control. </w:t>
      </w:r>
    </w:p>
    <w:p w:rsidR="00000000" w:rsidDel="00000000" w:rsidP="00000000" w:rsidRDefault="00000000" w:rsidRPr="00000000" w14:paraId="000001A5">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24"/>
        <w:tblW w:w="8805.0" w:type="dxa"/>
        <w:jc w:val="left"/>
        <w:tblInd w:w="-5.0" w:type="dxa"/>
        <w:tblLayout w:type="fixed"/>
        <w:tblLook w:val="0400"/>
      </w:tblPr>
      <w:tblGrid>
        <w:gridCol w:w="2475"/>
        <w:gridCol w:w="1815"/>
        <w:gridCol w:w="1515"/>
        <w:gridCol w:w="1605"/>
        <w:gridCol w:w="1395"/>
        <w:tblGridChange w:id="0">
          <w:tblGrid>
            <w:gridCol w:w="2475"/>
            <w:gridCol w:w="1815"/>
            <w:gridCol w:w="1515"/>
            <w:gridCol w:w="1605"/>
            <w:gridCol w:w="1395"/>
          </w:tblGrid>
        </w:tblGridChange>
      </w:tblGrid>
      <w:tr>
        <w:trPr>
          <w:cantSplit w:val="0"/>
          <w:trHeight w:val="5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INSUMO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VALORES PROMEDIO</w:t>
            </w:r>
          </w:p>
        </w:tc>
      </w:tr>
      <w:tr>
        <w:trPr>
          <w:cantSplit w:val="0"/>
          <w:trHeight w:val="5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Resma de papel tamaño carta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17.900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22.700</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1">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Legajador A-Z carta</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13.700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16.000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13.900</w:t>
            </w:r>
          </w:p>
        </w:tc>
      </w:tr>
      <w:tr>
        <w:trPr>
          <w:cantSplit w:val="0"/>
          <w:trHeight w:val="568"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Marcadores  (marca sobre todo) x 12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14.800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14.500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29.000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16.300</w:t>
            </w:r>
          </w:p>
        </w:tc>
      </w:tr>
      <w:tr>
        <w:trPr>
          <w:cantSplit w:val="0"/>
          <w:trHeight w:val="97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Cosedora con mango antideslizante para grapar 240 hojas + ganchos 23/23 Nhitan</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119.900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98.900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94.900</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Tablero Mixto</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74.800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107.000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82.000</w:t>
            </w:r>
          </w:p>
        </w:tc>
      </w:tr>
      <w:tr>
        <w:trPr>
          <w:cantSplit w:val="0"/>
          <w:trHeight w:val="2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Carpeta palanca carta azul </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13.200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12.100</w:t>
            </w:r>
          </w:p>
        </w:tc>
      </w:tr>
      <w:tr>
        <w:trPr>
          <w:cantSplit w:val="0"/>
          <w:trHeight w:val="283"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Bolígrafo X12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15.700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10.000</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11.000</w:t>
            </w:r>
          </w:p>
        </w:tc>
      </w:tr>
      <w:tr>
        <w:trPr>
          <w:cantSplit w:val="0"/>
          <w:trHeight w:val="14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F">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Lápiz mirado N2</w:t>
            </w:r>
          </w:p>
          <w:p w:rsidR="00000000" w:rsidDel="00000000" w:rsidP="00000000" w:rsidRDefault="00000000" w:rsidRPr="00000000" w14:paraId="000001D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12.600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9.000</w:t>
            </w:r>
          </w:p>
        </w:tc>
      </w:tr>
      <w:tr>
        <w:trPr>
          <w:cantSplit w:val="0"/>
          <w:trHeight w:val="141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5">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Suministro de tintas para la impresora adquirida para la Actividad Administrativa</w:t>
            </w:r>
          </w:p>
          <w:p w:rsidR="00000000" w:rsidDel="00000000" w:rsidP="00000000" w:rsidRDefault="00000000" w:rsidRPr="00000000" w14:paraId="000001D6">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139.900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150.000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180.000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175.000</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Equipo - Impresora  Actividad de Administración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1.193.900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1.019.900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1.135.000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1.210.000</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Equipo de computo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2.379.000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2.800.000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2.350.000</w:t>
            </w:r>
          </w:p>
          <w:p w:rsidR="00000000" w:rsidDel="00000000" w:rsidP="00000000" w:rsidRDefault="00000000" w:rsidRPr="00000000" w14:paraId="000001E4">
            <w:pPr>
              <w:jc w:val="center"/>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2.500.000</w:t>
            </w:r>
          </w:p>
        </w:tc>
      </w:tr>
    </w:tbl>
    <w:p w:rsidR="00000000" w:rsidDel="00000000" w:rsidP="00000000" w:rsidRDefault="00000000" w:rsidRPr="00000000" w14:paraId="000001E6">
      <w:pPr>
        <w:jc w:val="both"/>
        <w:rPr>
          <w:rFonts w:ascii="Century Gothic" w:cs="Century Gothic" w:eastAsia="Century Gothic" w:hAnsi="Century Gothic"/>
          <w:b w:val="1"/>
          <w:sz w:val="26"/>
          <w:szCs w:val="26"/>
        </w:rPr>
      </w:pPr>
      <w:r w:rsidDel="00000000" w:rsidR="00000000" w:rsidRPr="00000000">
        <w:rPr>
          <w:rtl w:val="0"/>
        </w:rPr>
      </w:r>
    </w:p>
    <w:tbl>
      <w:tblPr>
        <w:tblStyle w:val="Table25"/>
        <w:tblW w:w="88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321" w:hRule="atLeast"/>
          <w:tblHeader w:val="0"/>
        </w:trPr>
        <w:tc>
          <w:tcPr>
            <w:shd w:fill="ffffff" w:val="clear"/>
            <w:vAlign w:val="center"/>
          </w:tcPr>
          <w:p w:rsidR="00000000" w:rsidDel="00000000" w:rsidP="00000000" w:rsidRDefault="00000000" w:rsidRPr="00000000" w14:paraId="000001E7">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PROVEEDOR 3</w:t>
            </w:r>
          </w:p>
        </w:tc>
        <w:tc>
          <w:tcPr>
            <w:shd w:fill="ffffff" w:val="clear"/>
            <w:vAlign w:val="center"/>
          </w:tcPr>
          <w:p w:rsidR="00000000" w:rsidDel="00000000" w:rsidP="00000000" w:rsidRDefault="00000000" w:rsidRPr="00000000" w14:paraId="000001E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VALORES PROMEDIO</w:t>
            </w:r>
          </w:p>
        </w:tc>
      </w:tr>
      <w:tr>
        <w:trPr>
          <w:cantSplit w:val="0"/>
          <w:trHeight w:val="831" w:hRule="atLeast"/>
          <w:tblHeader w:val="0"/>
        </w:trPr>
        <w:tc>
          <w:tcPr>
            <w:shd w:fill="ffffff" w:val="clear"/>
            <w:vAlign w:val="center"/>
          </w:tcPr>
          <w:p w:rsidR="00000000" w:rsidDel="00000000" w:rsidP="00000000" w:rsidRDefault="00000000" w:rsidRPr="00000000" w14:paraId="000001EC">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Pago mensual de servicio de internet AT - Actividad de Administración y Gestión</w:t>
            </w:r>
          </w:p>
          <w:p w:rsidR="00000000" w:rsidDel="00000000" w:rsidP="00000000" w:rsidRDefault="00000000" w:rsidRPr="00000000" w14:paraId="000001ED">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w:t>
            </w:r>
          </w:p>
        </w:tc>
        <w:tc>
          <w:tcPr>
            <w:shd w:fill="ffffff" w:val="clear"/>
            <w:vAlign w:val="center"/>
          </w:tcPr>
          <w:p w:rsidR="00000000" w:rsidDel="00000000" w:rsidP="00000000" w:rsidRDefault="00000000" w:rsidRPr="00000000" w14:paraId="000001EE">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300.000</w:t>
            </w:r>
          </w:p>
        </w:tc>
        <w:tc>
          <w:tcPr>
            <w:shd w:fill="ffffff" w:val="clear"/>
            <w:vAlign w:val="center"/>
          </w:tcPr>
          <w:p w:rsidR="00000000" w:rsidDel="00000000" w:rsidP="00000000" w:rsidRDefault="00000000" w:rsidRPr="00000000" w14:paraId="000001EF">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250.000</w:t>
            </w:r>
          </w:p>
        </w:tc>
        <w:tc>
          <w:tcPr>
            <w:shd w:fill="ffffff" w:val="clear"/>
            <w:vAlign w:val="center"/>
          </w:tcPr>
          <w:p w:rsidR="00000000" w:rsidDel="00000000" w:rsidP="00000000" w:rsidRDefault="00000000" w:rsidRPr="00000000" w14:paraId="000001F0">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290.000</w:t>
            </w:r>
          </w:p>
        </w:tc>
        <w:tc>
          <w:tcPr>
            <w:shd w:fill="ffffff" w:val="clear"/>
            <w:vAlign w:val="center"/>
          </w:tcPr>
          <w:p w:rsidR="00000000" w:rsidDel="00000000" w:rsidP="00000000" w:rsidRDefault="00000000" w:rsidRPr="00000000" w14:paraId="000001F1">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280.000</w:t>
            </w:r>
          </w:p>
        </w:tc>
      </w:tr>
    </w:tbl>
    <w:p w:rsidR="00000000" w:rsidDel="00000000" w:rsidP="00000000" w:rsidRDefault="00000000" w:rsidRPr="00000000" w14:paraId="000001F2">
      <w:pPr>
        <w:jc w:val="both"/>
        <w:rPr>
          <w:rFonts w:ascii="Century Gothic" w:cs="Century Gothic" w:eastAsia="Century Gothic" w:hAnsi="Century Gothic"/>
          <w:b w:val="1"/>
          <w:sz w:val="26"/>
          <w:szCs w:val="26"/>
        </w:rPr>
      </w:pPr>
      <w:r w:rsidDel="00000000" w:rsidR="00000000" w:rsidRPr="00000000">
        <w:rPr>
          <w:rtl w:val="0"/>
        </w:rPr>
      </w:r>
    </w:p>
    <w:p w:rsidR="00000000" w:rsidDel="00000000" w:rsidP="00000000" w:rsidRDefault="00000000" w:rsidRPr="00000000" w14:paraId="000001F3">
      <w:pPr>
        <w:jc w:val="both"/>
        <w:rPr>
          <w:rFonts w:ascii="Century Gothic" w:cs="Century Gothic" w:eastAsia="Century Gothic" w:hAnsi="Century Gothic"/>
          <w:b w:val="1"/>
          <w:sz w:val="26"/>
          <w:szCs w:val="26"/>
        </w:rPr>
      </w:pPr>
      <w:r w:rsidDel="00000000" w:rsidR="00000000" w:rsidRPr="00000000">
        <w:rPr>
          <w:rtl w:val="0"/>
        </w:rPr>
      </w:r>
    </w:p>
    <w:tbl>
      <w:tblPr>
        <w:tblStyle w:val="Table26"/>
        <w:tblW w:w="8833.0" w:type="dxa"/>
        <w:jc w:val="left"/>
        <w:tblInd w:w="-5.0" w:type="dxa"/>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VALORES PROMEDIO</w:t>
            </w:r>
          </w:p>
        </w:tc>
      </w:tr>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9">
            <w:pP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Estación de trabajo AT - Actividad de Administración y Gestión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A">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1.700.000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B">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1.500.000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C">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1.300.000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D">
            <w:pPr>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1.500.000</w:t>
            </w:r>
          </w:p>
        </w:tc>
      </w:tr>
    </w:tbl>
    <w:p w:rsidR="00000000" w:rsidDel="00000000" w:rsidP="00000000" w:rsidRDefault="00000000" w:rsidRPr="00000000" w14:paraId="000001FE">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F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2"/>
          <w:szCs w:val="22"/>
          <w:rtl w:val="0"/>
        </w:rPr>
        <w:t xml:space="preserve">: No olvide que se deberá soportar a través de mínimo (3) cotizaciones los valores del mercado y el criterio de selección. </w:t>
      </w:r>
    </w:p>
    <w:p w:rsidR="00000000" w:rsidDel="00000000" w:rsidP="00000000" w:rsidRDefault="00000000" w:rsidRPr="00000000" w14:paraId="00000200">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1">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Gastos apoyo supervisión</w:t>
      </w: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0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este rubro se enmarcan las actividades, procesos y/o personal dedicados a monitorizar y controlar el proyecto. Estas deberán realizarse de manera paralela a todo el resto de actividades del proyecto, y en especial las que pertenecen a las áreas de planificación y ejecución. </w:t>
      </w:r>
    </w:p>
    <w:p w:rsidR="00000000" w:rsidDel="00000000" w:rsidP="00000000" w:rsidRDefault="00000000" w:rsidRPr="00000000" w14:paraId="00000204">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el marco del proyecto de Inversión, se contemplan 2 cargos relacionados con e el apoyo a la supervisión del proyecto y los cuales se costean con base a la resolución No. 426 de 2014 “por la cual se establecen los topes máximos a pagar al personal que desarrolle actividades, programas y proyectos financiados con recursos del Sistema General de Regalías, estos topes se actualizan de acuerdo al SMLV. </w:t>
      </w:r>
    </w:p>
    <w:p w:rsidR="00000000" w:rsidDel="00000000" w:rsidP="00000000" w:rsidRDefault="00000000" w:rsidRPr="00000000" w14:paraId="00000206">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 link:</w:t>
      </w:r>
    </w:p>
    <w:p w:rsidR="00000000" w:rsidDel="00000000" w:rsidP="00000000" w:rsidRDefault="00000000" w:rsidRPr="00000000" w14:paraId="00000208">
      <w:pPr>
        <w:jc w:val="both"/>
        <w:rPr>
          <w:b w:val="1"/>
          <w:color w:val="0000ff"/>
        </w:rPr>
      </w:pPr>
      <w:hyperlink r:id="rId12">
        <w:r w:rsidDel="00000000" w:rsidR="00000000" w:rsidRPr="00000000">
          <w:rPr>
            <w:rFonts w:ascii="Century Gothic" w:cs="Century Gothic" w:eastAsia="Century Gothic" w:hAnsi="Century Gothic"/>
            <w:color w:val="0000ff"/>
            <w:sz w:val="22"/>
            <w:szCs w:val="22"/>
            <w:u w:val="single"/>
            <w:rtl w:val="0"/>
          </w:rPr>
          <w:t xml:space="preserve">https://minciencias.gov.co/sites/default/files/upload/reglamentacion/resolucion426-2014.pdf</w:t>
        </w:r>
      </w:hyperlink>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209">
      <w:pPr>
        <w:jc w:val="center"/>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20A">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B">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C">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D">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E">
      <w:pP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F">
      <w:pPr>
        <w:rPr>
          <w:rFonts w:ascii="Century Gothic" w:cs="Century Gothic" w:eastAsia="Century Gothic" w:hAnsi="Century Gothic"/>
          <w:sz w:val="22"/>
          <w:szCs w:val="22"/>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0" w:right="17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center" w:pos="4419"/>
        <w:tab w:val="right" w:pos="8838"/>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center" w:pos="4419"/>
        <w:tab w:val="right" w:pos="8838"/>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36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3">
    <w:lvl w:ilvl="0">
      <w:start w:val="1"/>
      <w:numFmt w:val="decimal"/>
      <w:lvlText w:val="%1."/>
      <w:lvlJc w:val="left"/>
      <w:pPr>
        <w:ind w:left="720" w:hanging="360"/>
      </w:pPr>
      <w:rPr>
        <w:b w:val="1"/>
        <w:color w:val="1f386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3"/>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widowControl w:val="0"/>
      <w:spacing w:before="40" w:lineRule="auto"/>
    </w:pPr>
    <w:rPr>
      <w:rFonts w:ascii="Century Gothic" w:cs="Century Gothic" w:eastAsia="Century Gothic" w:hAnsi="Century Gothic"/>
      <w:b w:val="1"/>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A249E5"/>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C93ED9"/>
    <w:pPr>
      <w:keepNext w:val="1"/>
      <w:keepLines w:val="1"/>
      <w:widowControl w:val="0"/>
      <w:autoSpaceDE w:val="0"/>
      <w:autoSpaceDN w:val="0"/>
      <w:spacing w:before="40"/>
      <w:outlineLvl w:val="1"/>
    </w:pPr>
    <w:rPr>
      <w:rFonts w:ascii="Century Gothic" w:hAnsi="Century Gothic" w:cstheme="majorBidi" w:eastAsiaTheme="majorEastAsia"/>
      <w:b w:val="1"/>
      <w:sz w:val="22"/>
      <w:szCs w:val="2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D43B14"/>
    <w:pPr>
      <w:ind w:left="720"/>
      <w:contextualSpacing w:val="1"/>
    </w:pPr>
  </w:style>
  <w:style w:type="table" w:styleId="Tablaconcuadrcula">
    <w:name w:val="Table Grid"/>
    <w:basedOn w:val="Tablanormal"/>
    <w:uiPriority w:val="39"/>
    <w:rsid w:val="0004127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cuadrcula5oscura-nfasis5">
    <w:name w:val="Grid Table 5 Dark Accent 5"/>
    <w:basedOn w:val="Tablanormal"/>
    <w:uiPriority w:val="50"/>
    <w:rsid w:val="00F04213"/>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paragraph" w:styleId="Encabezado">
    <w:name w:val="header"/>
    <w:basedOn w:val="Normal"/>
    <w:link w:val="EncabezadoCar"/>
    <w:uiPriority w:val="99"/>
    <w:unhideWhenUsed w:val="1"/>
    <w:rsid w:val="002A6370"/>
    <w:pPr>
      <w:tabs>
        <w:tab w:val="center" w:pos="4419"/>
        <w:tab w:val="right" w:pos="8838"/>
      </w:tabs>
    </w:pPr>
  </w:style>
  <w:style w:type="character" w:styleId="EncabezadoCar" w:customStyle="1">
    <w:name w:val="Encabezado Car"/>
    <w:basedOn w:val="Fuentedeprrafopredeter"/>
    <w:link w:val="Encabezado"/>
    <w:uiPriority w:val="99"/>
    <w:rsid w:val="002A6370"/>
  </w:style>
  <w:style w:type="paragraph" w:styleId="Piedepgina">
    <w:name w:val="footer"/>
    <w:basedOn w:val="Normal"/>
    <w:link w:val="PiedepginaCar"/>
    <w:uiPriority w:val="99"/>
    <w:unhideWhenUsed w:val="1"/>
    <w:rsid w:val="002A6370"/>
    <w:pPr>
      <w:tabs>
        <w:tab w:val="center" w:pos="4419"/>
        <w:tab w:val="right" w:pos="8838"/>
      </w:tabs>
    </w:pPr>
  </w:style>
  <w:style w:type="character" w:styleId="PiedepginaCar" w:customStyle="1">
    <w:name w:val="Pie de página Car"/>
    <w:basedOn w:val="Fuentedeprrafopredeter"/>
    <w:link w:val="Piedepgina"/>
    <w:uiPriority w:val="99"/>
    <w:rsid w:val="002A6370"/>
  </w:style>
  <w:style w:type="character" w:styleId="Ttulo2Car" w:customStyle="1">
    <w:name w:val="Título 2 Car"/>
    <w:basedOn w:val="Fuentedeprrafopredeter"/>
    <w:link w:val="Ttulo2"/>
    <w:uiPriority w:val="9"/>
    <w:rsid w:val="00C93ED9"/>
    <w:rPr>
      <w:rFonts w:ascii="Century Gothic" w:hAnsi="Century Gothic" w:cstheme="majorBidi" w:eastAsiaTheme="majorEastAsia"/>
      <w:b w:val="1"/>
      <w:sz w:val="22"/>
      <w:szCs w:val="26"/>
      <w:lang w:val="es-ES"/>
    </w:rPr>
  </w:style>
  <w:style w:type="character" w:styleId="Hipervnculo">
    <w:name w:val="Hyperlink"/>
    <w:basedOn w:val="Fuentedeprrafopredeter"/>
    <w:uiPriority w:val="99"/>
    <w:unhideWhenUsed w:val="1"/>
    <w:rsid w:val="002B57AE"/>
    <w:rPr>
      <w:color w:val="0563c1" w:themeColor="hyperlink"/>
      <w:u w:val="single"/>
    </w:rPr>
  </w:style>
  <w:style w:type="character" w:styleId="UnresolvedMention" w:customStyle="1">
    <w:name w:val="Unresolved Mention"/>
    <w:basedOn w:val="Fuentedeprrafopredeter"/>
    <w:uiPriority w:val="99"/>
    <w:semiHidden w:val="1"/>
    <w:unhideWhenUsed w:val="1"/>
    <w:rsid w:val="002B57AE"/>
    <w:rPr>
      <w:color w:val="605e5c"/>
      <w:shd w:color="auto" w:fill="e1dfdd" w:val="clear"/>
    </w:rPr>
  </w:style>
  <w:style w:type="character" w:styleId="Nmerodepgina">
    <w:name w:val="page number"/>
    <w:basedOn w:val="Fuentedeprrafopredeter"/>
    <w:uiPriority w:val="99"/>
    <w:semiHidden w:val="1"/>
    <w:unhideWhenUsed w:val="1"/>
    <w:rsid w:val="003863D9"/>
  </w:style>
  <w:style w:type="character" w:styleId="Textoennegrita">
    <w:name w:val="Strong"/>
    <w:basedOn w:val="Fuentedeprrafopredeter"/>
    <w:uiPriority w:val="22"/>
    <w:qFormat w:val="1"/>
    <w:rsid w:val="00BD7325"/>
    <w:rPr>
      <w:b w:val="1"/>
      <w:bCs w:val="1"/>
    </w:rPr>
  </w:style>
  <w:style w:type="character" w:styleId="Ttulo1Car" w:customStyle="1">
    <w:name w:val="Título 1 Car"/>
    <w:basedOn w:val="Fuentedeprrafopredeter"/>
    <w:link w:val="Ttulo1"/>
    <w:uiPriority w:val="9"/>
    <w:rsid w:val="00A249E5"/>
    <w:rPr>
      <w:rFonts w:asciiTheme="majorHAnsi" w:cstheme="majorBidi" w:eastAsiaTheme="majorEastAsia" w:hAnsiTheme="majorHAnsi"/>
      <w:color w:val="2f5496" w:themeColor="accent1" w:themeShade="0000BF"/>
      <w:sz w:val="32"/>
      <w:szCs w:val="3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115.0" w:type="dxa"/>
        <w:right w:w="115.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0" w:customStyle="1">
    <w:basedOn w:val="TableNormal0"/>
    <w:tblPr>
      <w:tblStyleRowBandSize w:val="1"/>
      <w:tblStyleColBandSize w:val="1"/>
      <w:tblCellMar>
        <w:left w:w="115.0" w:type="dxa"/>
        <w:right w:w="115.0" w:type="dxa"/>
      </w:tblCellMar>
    </w:tblPr>
    <w:tcPr>
      <w:shd w:color="auto" w:fill="deebf6" w:val="clear"/>
    </w:tcPr>
  </w:style>
  <w:style w:type="table" w:styleId="a1" w:customStyle="1">
    <w:basedOn w:val="TableNormal0"/>
    <w:tblPr>
      <w:tblStyleRowBandSize w:val="1"/>
      <w:tblStyleColBandSize w:val="1"/>
      <w:tblCellMar>
        <w:left w:w="115.0" w:type="dxa"/>
        <w:right w:w="115.0" w:type="dxa"/>
      </w:tblCellMar>
    </w:tblPr>
    <w:tcPr>
      <w:shd w:color="auto" w:fill="deebf6" w:val="clear"/>
    </w:tcPr>
  </w:style>
  <w:style w:type="table" w:styleId="a2" w:customStyle="1">
    <w:basedOn w:val="TableNormal0"/>
    <w:tblPr>
      <w:tblStyleRowBandSize w:val="1"/>
      <w:tblStyleColBandSize w:val="1"/>
      <w:tblCellMar>
        <w:left w:w="115.0" w:type="dxa"/>
        <w:right w:w="115.0" w:type="dxa"/>
      </w:tblCellMar>
    </w:tblPr>
    <w:tcPr>
      <w:shd w:color="auto" w:fill="deebf6" w:val="clear"/>
    </w:tcPr>
  </w:style>
  <w:style w:type="table" w:styleId="a3" w:customStyle="1">
    <w:basedOn w:val="TableNormal0"/>
    <w:tblPr>
      <w:tblStyleRowBandSize w:val="1"/>
      <w:tblStyleColBandSize w:val="1"/>
      <w:tblCellMar>
        <w:left w:w="115.0" w:type="dxa"/>
        <w:right w:w="115.0" w:type="dxa"/>
      </w:tblCellMar>
    </w:tblPr>
    <w:tcPr>
      <w:shd w:color="auto" w:fill="deebf6" w:val="clear"/>
    </w:tcPr>
  </w:style>
  <w:style w:type="table" w:styleId="a4" w:customStyle="1">
    <w:basedOn w:val="TableNormal0"/>
    <w:tblPr>
      <w:tblStyleRowBandSize w:val="1"/>
      <w:tblStyleColBandSize w:val="1"/>
      <w:tblCellMar>
        <w:left w:w="115.0" w:type="dxa"/>
        <w:right w:w="115.0" w:type="dxa"/>
      </w:tblCellMar>
    </w:tblPr>
    <w:tcPr>
      <w:shd w:color="auto" w:fill="deebf6" w:val="clear"/>
    </w:tcPr>
  </w:style>
  <w:style w:type="table" w:styleId="a5" w:customStyle="1">
    <w:basedOn w:val="TableNormal0"/>
    <w:tblPr>
      <w:tblStyleRowBandSize w:val="1"/>
      <w:tblStyleColBandSize w:val="1"/>
      <w:tblCellMar>
        <w:left w:w="115.0" w:type="dxa"/>
        <w:right w:w="115.0" w:type="dxa"/>
      </w:tblCellMar>
    </w:tblPr>
    <w:tcPr>
      <w:shd w:color="auto" w:fill="deebf6" w:val="clear"/>
    </w:tcPr>
  </w:style>
  <w:style w:type="table" w:styleId="a6" w:customStyle="1">
    <w:basedOn w:val="TableNormal0"/>
    <w:tblPr>
      <w:tblStyleRowBandSize w:val="1"/>
      <w:tblStyleColBandSize w:val="1"/>
      <w:tblCellMar>
        <w:left w:w="115.0" w:type="dxa"/>
        <w:right w:w="115.0" w:type="dxa"/>
      </w:tblCellMar>
    </w:tblPr>
    <w:tcPr>
      <w:shd w:color="auto" w:fill="deebf6" w:val="clear"/>
    </w:tcPr>
  </w:style>
  <w:style w:type="table" w:styleId="a7" w:customStyle="1">
    <w:basedOn w:val="TableNormal0"/>
    <w:tblPr>
      <w:tblStyleRowBandSize w:val="1"/>
      <w:tblStyleColBandSize w:val="1"/>
      <w:tblCellMar>
        <w:left w:w="115.0" w:type="dxa"/>
        <w:right w:w="115.0" w:type="dxa"/>
      </w:tblCellMar>
    </w:tblPr>
    <w:tcPr>
      <w:shd w:color="auto" w:fill="deebf6" w:val="clear"/>
    </w:tcPr>
  </w:style>
  <w:style w:type="table" w:styleId="a8" w:customStyle="1">
    <w:basedOn w:val="TableNormal0"/>
    <w:tblPr>
      <w:tblStyleRowBandSize w:val="1"/>
      <w:tblStyleColBandSize w:val="1"/>
      <w:tblCellMar>
        <w:left w:w="115.0" w:type="dxa"/>
        <w:right w:w="115.0" w:type="dxa"/>
      </w:tblCellMar>
    </w:tblPr>
    <w:tcPr>
      <w:shd w:color="auto" w:fill="deebf6" w:val="clear"/>
    </w:tcPr>
  </w:style>
  <w:style w:type="table" w:styleId="a9" w:customStyle="1">
    <w:basedOn w:val="TableNormal0"/>
    <w:tblPr>
      <w:tblStyleRowBandSize w:val="1"/>
      <w:tblStyleColBandSize w:val="1"/>
      <w:tblCellMar>
        <w:left w:w="115.0" w:type="dxa"/>
        <w:right w:w="115.0" w:type="dxa"/>
      </w:tblCellMar>
    </w:tblPr>
    <w:tcPr>
      <w:shd w:color="auto" w:fill="deebf6" w:val="clear"/>
    </w:tcPr>
  </w:style>
  <w:style w:type="table" w:styleId="aa" w:customStyle="1">
    <w:basedOn w:val="TableNormal0"/>
    <w:tblPr>
      <w:tblStyleRowBandSize w:val="1"/>
      <w:tblStyleColBandSize w:val="1"/>
      <w:tblCellMar>
        <w:left w:w="115.0" w:type="dxa"/>
        <w:right w:w="115.0" w:type="dxa"/>
      </w:tblCellMar>
    </w:tblPr>
    <w:tcPr>
      <w:shd w:color="auto" w:fill="deebf6" w:val="clear"/>
    </w:tcPr>
  </w:style>
  <w:style w:type="table" w:styleId="ab" w:customStyle="1">
    <w:basedOn w:val="TableNormal0"/>
    <w:tblPr>
      <w:tblStyleRowBandSize w:val="1"/>
      <w:tblStyleColBandSize w:val="1"/>
      <w:tblCellMar>
        <w:left w:w="115.0" w:type="dxa"/>
        <w:right w:w="115.0" w:type="dxa"/>
      </w:tblCellMar>
    </w:tblPr>
    <w:tcPr>
      <w:shd w:color="auto" w:fill="deebf6" w:val="clear"/>
    </w:tcPr>
  </w:style>
  <w:style w:type="table" w:styleId="ac" w:customStyle="1">
    <w:basedOn w:val="TableNormal0"/>
    <w:tblPr>
      <w:tblStyleRowBandSize w:val="1"/>
      <w:tblStyleColBandSize w:val="1"/>
      <w:tblCellMar>
        <w:left w:w="115.0" w:type="dxa"/>
        <w:right w:w="115.0" w:type="dxa"/>
      </w:tblCellMar>
    </w:tblPr>
    <w:tcPr>
      <w:shd w:color="auto" w:fill="deebf6" w:val="clear"/>
    </w:tcPr>
  </w:style>
  <w:style w:type="table" w:styleId="ad" w:customStyle="1">
    <w:basedOn w:val="TableNormal0"/>
    <w:tblPr>
      <w:tblStyleRowBandSize w:val="1"/>
      <w:tblStyleColBandSize w:val="1"/>
      <w:tblCellMar>
        <w:left w:w="115.0" w:type="dxa"/>
        <w:right w:w="115.0" w:type="dxa"/>
      </w:tblCellMar>
    </w:tblPr>
    <w:tcPr>
      <w:shd w:color="auto" w:fill="deebf6" w:val="clear"/>
    </w:tcPr>
  </w:style>
  <w:style w:type="table" w:styleId="ae" w:customStyle="1">
    <w:basedOn w:val="TableNormal0"/>
    <w:tblPr>
      <w:tblStyleRowBandSize w:val="1"/>
      <w:tblStyleColBandSize w:val="1"/>
      <w:tblCellMar>
        <w:left w:w="115.0" w:type="dxa"/>
        <w:right w:w="115.0" w:type="dxa"/>
      </w:tblCellMar>
    </w:tblPr>
    <w:tcPr>
      <w:shd w:color="auto" w:fill="deebf6" w:val="clear"/>
    </w:tcPr>
  </w:style>
  <w:style w:type="table" w:styleId="af" w:customStyle="1">
    <w:basedOn w:val="TableNormal0"/>
    <w:tblPr>
      <w:tblStyleRowBandSize w:val="1"/>
      <w:tblStyleColBandSize w:val="1"/>
      <w:tblCellMar>
        <w:left w:w="115.0" w:type="dxa"/>
        <w:right w:w="115.0" w:type="dxa"/>
      </w:tblCellMar>
    </w:tblPr>
    <w:tcPr>
      <w:shd w:color="auto" w:fill="deebf6" w:val="clear"/>
    </w:tcPr>
  </w:style>
  <w:style w:type="table" w:styleId="af0" w:customStyle="1">
    <w:basedOn w:val="TableNormal0"/>
    <w:tblPr>
      <w:tblStyleRowBandSize w:val="1"/>
      <w:tblStyleColBandSize w:val="1"/>
      <w:tblCellMar>
        <w:left w:w="115.0" w:type="dxa"/>
        <w:right w:w="115.0" w:type="dxa"/>
      </w:tblCellMar>
    </w:tblPr>
    <w:tcPr>
      <w:shd w:color="auto" w:fill="deebf6" w:val="clear"/>
    </w:tcPr>
  </w:style>
  <w:style w:type="table" w:styleId="af1" w:customStyle="1">
    <w:basedOn w:val="TableNormal0"/>
    <w:tblPr>
      <w:tblStyleRowBandSize w:val="1"/>
      <w:tblStyleColBandSize w:val="1"/>
      <w:tblCellMar>
        <w:left w:w="115.0" w:type="dxa"/>
        <w:right w:w="115.0" w:type="dxa"/>
      </w:tblCellMar>
    </w:tblPr>
    <w:tcPr>
      <w:shd w:color="auto" w:fill="deebf6" w:val="clear"/>
    </w:tcPr>
  </w:style>
  <w:style w:type="table" w:styleId="af2" w:customStyle="1">
    <w:basedOn w:val="TableNormal0"/>
    <w:tblPr>
      <w:tblStyleRowBandSize w:val="1"/>
      <w:tblStyleColBandSize w:val="1"/>
      <w:tblCellMar>
        <w:left w:w="115.0" w:type="dxa"/>
        <w:right w:w="115.0" w:type="dxa"/>
      </w:tblCellMar>
    </w:tblPr>
    <w:tcPr>
      <w:shd w:color="auto" w:fill="deebf6" w:val="clear"/>
    </w:tcPr>
  </w:style>
  <w:style w:type="table" w:styleId="af3" w:customStyle="1">
    <w:basedOn w:val="TableNormal0"/>
    <w:tblPr>
      <w:tblStyleRowBandSize w:val="1"/>
      <w:tblStyleColBandSize w:val="1"/>
      <w:tblCellMar>
        <w:left w:w="115.0" w:type="dxa"/>
        <w:right w:w="115.0" w:type="dxa"/>
      </w:tblCellMar>
    </w:tblPr>
    <w:tcPr>
      <w:shd w:color="auto" w:fill="deebf6" w:val="clear"/>
    </w:tcPr>
  </w:style>
  <w:style w:type="table" w:styleId="af4" w:customStyle="1">
    <w:basedOn w:val="TableNormal0"/>
    <w:tblPr>
      <w:tblStyleRowBandSize w:val="1"/>
      <w:tblStyleColBandSize w:val="1"/>
      <w:tblCellMar>
        <w:left w:w="115.0" w:type="dxa"/>
        <w:right w:w="115.0" w:type="dxa"/>
      </w:tblCellMar>
    </w:tblPr>
    <w:tcPr>
      <w:shd w:color="auto" w:fill="deebf6" w:val="clear"/>
    </w:tcPr>
  </w:style>
  <w:style w:type="table" w:styleId="af5" w:customStyle="1">
    <w:basedOn w:val="TableNormal0"/>
    <w:tblPr>
      <w:tblStyleRowBandSize w:val="1"/>
      <w:tblStyleColBandSize w:val="1"/>
      <w:tblCellMar>
        <w:left w:w="115.0" w:type="dxa"/>
        <w:right w:w="115.0" w:type="dxa"/>
      </w:tblCellMar>
    </w:tblPr>
    <w:tcPr>
      <w:shd w:color="auto" w:fill="deebf6" w:val="clear"/>
    </w:tcPr>
  </w:style>
  <w:style w:type="table" w:styleId="af6" w:customStyle="1">
    <w:basedOn w:val="TableNormal0"/>
    <w:tblPr>
      <w:tblStyleRowBandSize w:val="1"/>
      <w:tblStyleColBandSize w:val="1"/>
      <w:tblCellMar>
        <w:left w:w="70.0" w:type="dxa"/>
        <w:right w:w="70.0" w:type="dxa"/>
      </w:tblCellMar>
    </w:tblPr>
  </w:style>
  <w:style w:type="table" w:styleId="af7" w:customStyle="1">
    <w:basedOn w:val="TableNormal0"/>
    <w:tblPr>
      <w:tblStyleRowBandSize w:val="1"/>
      <w:tblStyleColBandSize w:val="1"/>
      <w:tblCellMar>
        <w:left w:w="70.0" w:type="dxa"/>
        <w:right w:w="70.0" w:type="dxa"/>
      </w:tblCellMar>
    </w:tblPr>
  </w:style>
  <w:style w:type="table" w:styleId="af8" w:customStyle="1">
    <w:basedOn w:val="TableNormal0"/>
    <w:tblPr>
      <w:tblStyleRowBandSize w:val="1"/>
      <w:tblStyleColBandSize w:val="1"/>
      <w:tblCellMar>
        <w:left w:w="70.0" w:type="dxa"/>
        <w:right w:w="70.0" w:type="dxa"/>
      </w:tblCellMar>
    </w:tblPr>
  </w:style>
  <w:style w:type="table" w:styleId="af9" w:customStyle="1">
    <w:basedOn w:val="TableNormal0"/>
    <w:tblPr>
      <w:tblStyleRowBandSize w:val="1"/>
      <w:tblStyleColBandSize w:val="1"/>
      <w:tblCellMar>
        <w:left w:w="70.0" w:type="dxa"/>
        <w:right w:w="70.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fa" w:customStyle="1">
    <w:basedOn w:val="TableNormal0"/>
    <w:tblPr>
      <w:tblStyleRowBandSize w:val="1"/>
      <w:tblStyleColBandSize w:val="1"/>
      <w:tblCellMar>
        <w:left w:w="70.0" w:type="dxa"/>
        <w:right w:w="70.0" w:type="dxa"/>
      </w:tblCellMar>
    </w:tblPr>
    <w:tcPr>
      <w:shd w:color="auto" w:fill="deebf6" w:val="clear"/>
    </w:tcPr>
  </w:style>
  <w:style w:type="table" w:styleId="afb" w:customStyle="1">
    <w:basedOn w:val="TableNormal0"/>
    <w:tblPr>
      <w:tblStyleRowBandSize w:val="1"/>
      <w:tblStyleColBandSize w:val="1"/>
      <w:tblCellMar>
        <w:left w:w="70.0" w:type="dxa"/>
        <w:right w:w="70.0" w:type="dxa"/>
      </w:tblCellMar>
    </w:tblPr>
    <w:tcPr>
      <w:shd w:color="auto" w:fill="deebf6" w:val="clear"/>
    </w:tcPr>
  </w:style>
  <w:style w:type="table" w:styleId="afc" w:customStyle="1">
    <w:basedOn w:val="TableNormal0"/>
    <w:tblPr>
      <w:tblStyleRowBandSize w:val="1"/>
      <w:tblStyleColBandSize w:val="1"/>
      <w:tblCellMar>
        <w:left w:w="70.0" w:type="dxa"/>
        <w:right w:w="70.0" w:type="dxa"/>
      </w:tblCellMar>
    </w:tblPr>
    <w:tcPr>
      <w:shd w:color="auto" w:fill="deebf6" w:val="clear"/>
    </w:tcPr>
  </w:style>
  <w:style w:type="table" w:styleId="afd" w:customStyle="1">
    <w:basedOn w:val="TableNormal0"/>
    <w:tblPr>
      <w:tblStyleRowBandSize w:val="1"/>
      <w:tblStyleColBandSize w:val="1"/>
      <w:tblCellMar>
        <w:left w:w="70.0" w:type="dxa"/>
        <w:right w:w="70.0" w:type="dxa"/>
      </w:tblCellMar>
    </w:tblPr>
    <w:tcPr>
      <w:shd w:color="auto" w:fill="deebf6" w:val="clear"/>
    </w:tcPr>
  </w:style>
  <w:style w:type="table" w:styleId="afe" w:customStyle="1">
    <w:basedOn w:val="TableNormal0"/>
    <w:tblPr>
      <w:tblStyleRowBandSize w:val="1"/>
      <w:tblStyleColBandSize w:val="1"/>
      <w:tblCellMar>
        <w:left w:w="70.0" w:type="dxa"/>
        <w:right w:w="70.0" w:type="dxa"/>
      </w:tblCellMar>
    </w:tblPr>
    <w:tcPr>
      <w:shd w:color="auto" w:fill="deebf6" w:val="clear"/>
    </w:tcPr>
  </w:style>
  <w:style w:type="table" w:styleId="aff" w:customStyle="1">
    <w:basedOn w:val="TableNormal0"/>
    <w:tblPr>
      <w:tblStyleRowBandSize w:val="1"/>
      <w:tblStyleColBandSize w:val="1"/>
      <w:tblCellMar>
        <w:left w:w="70.0" w:type="dxa"/>
        <w:right w:w="70.0" w:type="dxa"/>
      </w:tblCellMar>
    </w:tblPr>
    <w:tcPr>
      <w:shd w:color="auto" w:fill="deebf6" w:val="clear"/>
    </w:tcPr>
  </w:style>
  <w:style w:type="table" w:styleId="aff0" w:customStyle="1">
    <w:basedOn w:val="TableNormal0"/>
    <w:tblPr>
      <w:tblStyleRowBandSize w:val="1"/>
      <w:tblStyleColBandSize w:val="1"/>
      <w:tblCellMar>
        <w:left w:w="70.0" w:type="dxa"/>
        <w:right w:w="70.0" w:type="dxa"/>
      </w:tblCellMar>
    </w:tblPr>
    <w:tcPr>
      <w:shd w:color="auto" w:fill="deebf6" w:val="clear"/>
    </w:tcPr>
  </w:style>
  <w:style w:type="table" w:styleId="aff1" w:customStyle="1">
    <w:basedOn w:val="TableNormal0"/>
    <w:tblPr>
      <w:tblStyleRowBandSize w:val="1"/>
      <w:tblStyleColBandSize w:val="1"/>
      <w:tblCellMar>
        <w:left w:w="70.0" w:type="dxa"/>
        <w:right w:w="70.0" w:type="dxa"/>
      </w:tblCellMar>
    </w:tblPr>
    <w:tcPr>
      <w:shd w:color="auto" w:fill="deebf6" w:val="clear"/>
    </w:tcPr>
  </w:style>
  <w:style w:type="table" w:styleId="aff2" w:customStyle="1">
    <w:basedOn w:val="TableNormal0"/>
    <w:tblPr>
      <w:tblStyleRowBandSize w:val="1"/>
      <w:tblStyleColBandSize w:val="1"/>
      <w:tblCellMar>
        <w:left w:w="70.0" w:type="dxa"/>
        <w:right w:w="70.0" w:type="dxa"/>
      </w:tblCellMar>
    </w:tblPr>
    <w:tcPr>
      <w:shd w:color="auto" w:fill="deebf6" w:val="clear"/>
    </w:tcPr>
  </w:style>
  <w:style w:type="table" w:styleId="aff3" w:customStyle="1">
    <w:basedOn w:val="TableNormal0"/>
    <w:tblPr>
      <w:tblStyleRowBandSize w:val="1"/>
      <w:tblStyleColBandSize w:val="1"/>
      <w:tblCellMar>
        <w:left w:w="70.0" w:type="dxa"/>
        <w:right w:w="70.0" w:type="dxa"/>
      </w:tblCellMar>
    </w:tblPr>
    <w:tcPr>
      <w:shd w:color="auto" w:fill="deebf6" w:val="clear"/>
    </w:tcPr>
  </w:style>
  <w:style w:type="table" w:styleId="aff4" w:customStyle="1">
    <w:basedOn w:val="TableNormal0"/>
    <w:tblPr>
      <w:tblStyleRowBandSize w:val="1"/>
      <w:tblStyleColBandSize w:val="1"/>
      <w:tblCellMar>
        <w:left w:w="70.0" w:type="dxa"/>
        <w:right w:w="70.0" w:type="dxa"/>
      </w:tblCellMar>
    </w:tblPr>
    <w:tcPr>
      <w:shd w:color="auto" w:fill="deebf6" w:val="clear"/>
    </w:tcPr>
  </w:style>
  <w:style w:type="table" w:styleId="aff5" w:customStyle="1">
    <w:basedOn w:val="TableNormal0"/>
    <w:tblPr>
      <w:tblStyleRowBandSize w:val="1"/>
      <w:tblStyleColBandSize w:val="1"/>
      <w:tblCellMar>
        <w:left w:w="70.0" w:type="dxa"/>
        <w:right w:w="70.0" w:type="dxa"/>
      </w:tblCellMar>
    </w:tblPr>
    <w:tcPr>
      <w:shd w:color="auto" w:fill="deebf6" w:val="clear"/>
    </w:tcPr>
  </w:style>
  <w:style w:type="table" w:styleId="aff6" w:customStyle="1">
    <w:basedOn w:val="TableNormal0"/>
    <w:tblPr>
      <w:tblStyleRowBandSize w:val="1"/>
      <w:tblStyleColBandSize w:val="1"/>
      <w:tblCellMar>
        <w:left w:w="70.0" w:type="dxa"/>
        <w:right w:w="70.0" w:type="dxa"/>
      </w:tblCellMar>
    </w:tblPr>
    <w:tcPr>
      <w:shd w:color="auto" w:fill="deebf6" w:val="clear"/>
    </w:tcPr>
  </w:style>
  <w:style w:type="table" w:styleId="aff7" w:customStyle="1">
    <w:basedOn w:val="TableNormal0"/>
    <w:tblPr>
      <w:tblStyleRowBandSize w:val="1"/>
      <w:tblStyleColBandSize w:val="1"/>
      <w:tblCellMar>
        <w:left w:w="70.0" w:type="dxa"/>
        <w:right w:w="70.0" w:type="dxa"/>
      </w:tblCellMar>
    </w:tblPr>
    <w:tcPr>
      <w:shd w:color="auto" w:fill="deebf6" w:val="clear"/>
    </w:tcPr>
  </w:style>
  <w:style w:type="table" w:styleId="aff8" w:customStyle="1">
    <w:basedOn w:val="TableNormal0"/>
    <w:tblPr>
      <w:tblStyleRowBandSize w:val="1"/>
      <w:tblStyleColBandSize w:val="1"/>
      <w:tblCellMar>
        <w:left w:w="70.0" w:type="dxa"/>
        <w:right w:w="70.0" w:type="dxa"/>
      </w:tblCellMar>
    </w:tblPr>
    <w:tcPr>
      <w:shd w:color="auto" w:fill="deebf6" w:val="clear"/>
    </w:tcPr>
  </w:style>
  <w:style w:type="table" w:styleId="aff9" w:customStyle="1">
    <w:basedOn w:val="TableNormal0"/>
    <w:tblPr>
      <w:tblStyleRowBandSize w:val="1"/>
      <w:tblStyleColBandSize w:val="1"/>
      <w:tblCellMar>
        <w:left w:w="70.0" w:type="dxa"/>
        <w:right w:w="70.0" w:type="dxa"/>
      </w:tblCellMar>
    </w:tblPr>
    <w:tcPr>
      <w:shd w:color="auto" w:fill="deebf6" w:val="clear"/>
    </w:tcPr>
  </w:style>
  <w:style w:type="table" w:styleId="affa" w:customStyle="1">
    <w:basedOn w:val="TableNormal0"/>
    <w:tblPr>
      <w:tblStyleRowBandSize w:val="1"/>
      <w:tblStyleColBandSize w:val="1"/>
      <w:tblCellMar>
        <w:left w:w="70.0" w:type="dxa"/>
        <w:right w:w="70.0" w:type="dxa"/>
      </w:tblCellMar>
    </w:tblPr>
    <w:tcPr>
      <w:shd w:color="auto" w:fill="deebf6" w:val="clear"/>
    </w:tcPr>
  </w:style>
  <w:style w:type="table" w:styleId="affb" w:customStyle="1">
    <w:basedOn w:val="TableNormal0"/>
    <w:tblPr>
      <w:tblStyleRowBandSize w:val="1"/>
      <w:tblStyleColBandSize w:val="1"/>
      <w:tblCellMar>
        <w:left w:w="70.0" w:type="dxa"/>
        <w:right w:w="70.0" w:type="dxa"/>
      </w:tblCellMar>
    </w:tblPr>
    <w:tcPr>
      <w:shd w:color="auto" w:fill="deebf6" w:val="clear"/>
    </w:tcPr>
  </w:style>
  <w:style w:type="table" w:styleId="affc" w:customStyle="1">
    <w:basedOn w:val="TableNormal0"/>
    <w:tblPr>
      <w:tblStyleRowBandSize w:val="1"/>
      <w:tblStyleColBandSize w:val="1"/>
      <w:tblCellMar>
        <w:left w:w="70.0" w:type="dxa"/>
        <w:right w:w="70.0" w:type="dxa"/>
      </w:tblCellMar>
    </w:tblPr>
    <w:tcPr>
      <w:shd w:color="auto" w:fill="deebf6" w:val="clear"/>
    </w:tcPr>
  </w:style>
  <w:style w:type="table" w:styleId="affd" w:customStyle="1">
    <w:basedOn w:val="TableNormal0"/>
    <w:tblPr>
      <w:tblStyleRowBandSize w:val="1"/>
      <w:tblStyleColBandSize w:val="1"/>
      <w:tblCellMar>
        <w:left w:w="70.0" w:type="dxa"/>
        <w:right w:w="70.0" w:type="dxa"/>
      </w:tblCellMar>
    </w:tblPr>
    <w:tcPr>
      <w:shd w:color="auto" w:fill="deebf6" w:val="clear"/>
    </w:tcPr>
  </w:style>
  <w:style w:type="table" w:styleId="affe" w:customStyle="1">
    <w:basedOn w:val="TableNormal0"/>
    <w:tblPr>
      <w:tblStyleRowBandSize w:val="1"/>
      <w:tblStyleColBandSize w:val="1"/>
      <w:tblCellMar>
        <w:left w:w="70.0" w:type="dxa"/>
        <w:right w:w="70.0" w:type="dxa"/>
      </w:tblCellMar>
    </w:tblPr>
    <w:tcPr>
      <w:shd w:color="auto" w:fill="deebf6" w:val="clear"/>
    </w:tcPr>
  </w:style>
  <w:style w:type="table" w:styleId="afff" w:customStyle="1">
    <w:basedOn w:val="TableNormal0"/>
    <w:tblPr>
      <w:tblStyleRowBandSize w:val="1"/>
      <w:tblStyleColBandSize w:val="1"/>
      <w:tblCellMar>
        <w:left w:w="70.0" w:type="dxa"/>
        <w:right w:w="70.0" w:type="dxa"/>
      </w:tblCellMar>
    </w:tblPr>
    <w:tcPr>
      <w:shd w:color="auto" w:fill="deebf6" w:val="clear"/>
    </w:tcPr>
  </w:style>
  <w:style w:type="table" w:styleId="afff0" w:customStyle="1">
    <w:basedOn w:val="TableNormal0"/>
    <w:tblPr>
      <w:tblStyleRowBandSize w:val="1"/>
      <w:tblStyleColBandSize w:val="1"/>
      <w:tblCellMar>
        <w:left w:w="70.0" w:type="dxa"/>
        <w:right w:w="70.0" w:type="dxa"/>
      </w:tblCellMar>
    </w:tblPr>
    <w:tcPr>
      <w:shd w:color="auto" w:fill="deebf6" w:val="clear"/>
    </w:tcPr>
  </w:style>
  <w:style w:type="table" w:styleId="afff1" w:customStyle="1">
    <w:basedOn w:val="TableNormal0"/>
    <w:tblPr>
      <w:tblStyleRowBandSize w:val="1"/>
      <w:tblStyleColBandSize w:val="1"/>
      <w:tblCellMar>
        <w:left w:w="70.0" w:type="dxa"/>
        <w:right w:w="70.0" w:type="dxa"/>
      </w:tblCellMar>
    </w:tblPr>
    <w:tcPr>
      <w:shd w:color="auto" w:fill="deebf6" w:val="clear"/>
    </w:tcPr>
  </w:style>
  <w:style w:type="table" w:styleId="afff2" w:customStyle="1">
    <w:basedOn w:val="TableNormal0"/>
    <w:tblPr>
      <w:tblStyleRowBandSize w:val="1"/>
      <w:tblStyleColBandSize w:val="1"/>
      <w:tblCellMar>
        <w:left w:w="70.0" w:type="dxa"/>
        <w:right w:w="70.0" w:type="dxa"/>
      </w:tblCellMar>
    </w:tblPr>
    <w:tcPr>
      <w:shd w:color="auto" w:fill="deebf6"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0">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1">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7">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8">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9">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0">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1">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6">
    <w:basedOn w:val="TableNormal"/>
    <w:tblPr>
      <w:tblStyleRowBandSize w:val="1"/>
      <w:tblStyleColBandSize w:val="1"/>
      <w:tblCellMar>
        <w:top w:w="0.0" w:type="dxa"/>
        <w:left w:w="115.0" w:type="dxa"/>
        <w:bottom w:w="0.0" w:type="dxa"/>
        <w:right w:w="115.0" w:type="dxa"/>
      </w:tblCellMar>
    </w:tblPr>
    <w:tcPr>
      <w:shd w:fill="deebf6"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minciencias.gov.co/sites/default/files/upload/reglamentacion/resolucion426-2014.pdf" TargetMode="External"/><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yperlink" Target="https://minciencias.gov.co/sites/default/files/upload/reglamentacion/resolucion426-201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UFzS/t/AeC/9eq/P6gK/jxB0g==">AMUW2mUhPqoe9JGNq+5BTtlxr7WweJkGOidn6TRm0COse4r0SdybZZ9GQHX1luF0YRe+vtcAqgx5xiOruQJqs2rjolLAkG/8ONOCac7cjek4lD8wj+s9Zim3hNiXegkr8akCO/VjzXdp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2022-11-12T00:43:00Z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8a1cbe23f068fabb971fc889cb421dcac0213e243706937af4823bd101117dd1</vt:lpwstr>
  </property>
</Properties>
</file>